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عزرا</w:t>
      </w:r>
      <w:r>
        <w:rPr>
          <w:rtl/>
          <w:cs/>
          <w:lang w:val="ar_AE" w:bidi="ar_AE"/>
        </w:rPr>
      </w:r>
    </w:p>
    <w:p>
      <w:pPr>
        <w:bidi/>
      </w:pPr>
      <w:r>
        <w:rPr>
          <w:rtl/>
          <w:cs/>
          <w:lang w:val="ar_AE" w:bidi="ar_AE"/>
        </w:rPr>
      </w:r>
      <w:r>
        <w:rPr>
          <w:rtl/>
          <w:cs/>
          <w:lang w:val="ar_AE" w:bidi="ar_AE"/>
        </w:rPr>
        <w:t>سِفر عزرا</w:t>
      </w:r>
    </w:p>
    <w:p>
      <w:pPr>
        <w:pStyle w:val="Heading3"/>
        <w:bidi/>
      </w:pPr>
      <w:r>
        <w:rPr>
          <w:rtl/>
          <w:cs/>
          <w:lang w:val="ar_AE" w:bidi="ar_AE"/>
        </w:rPr>
        <w:t>الهدف</w:t>
      </w:r>
    </w:p>
    <w:p>
      <w:pPr>
        <w:bidi/>
      </w:pPr>
      <w:r>
        <w:rPr>
          <w:rtl/>
          <w:cs/>
          <w:lang w:val="ar_AE" w:bidi="ar_AE"/>
        </w:rPr>
      </w:r>
      <w:r>
        <w:rPr>
          <w:rtl/>
          <w:cs/>
          <w:lang w:val="ar_AE" w:bidi="ar_AE"/>
        </w:rPr>
        <w:t>إظهار تدبير الله المستمر لشعبه، وإظهار كيفية العيش عندما يواجهون السيطرة الأجنبية، والمقاومة، والنفوذ الوثني</w:t>
      </w:r>
    </w:p>
    <w:p>
      <w:pPr>
        <w:pStyle w:val="Heading3"/>
        <w:bidi/>
      </w:pPr>
      <w:r>
        <w:rPr>
          <w:rtl/>
          <w:cs/>
          <w:lang w:val="ar_AE" w:bidi="ar_AE"/>
        </w:rPr>
        <w:t>الكاتب</w:t>
      </w:r>
    </w:p>
    <w:p>
      <w:pPr>
        <w:bidi/>
      </w:pPr>
      <w:r>
        <w:rPr>
          <w:rtl/>
          <w:cs/>
          <w:lang w:val="ar_AE" w:bidi="ar_AE"/>
        </w:rPr>
      </w:r>
      <w:r>
        <w:rPr>
          <w:rtl/>
          <w:cs/>
          <w:lang w:val="ar_AE" w:bidi="ar_AE"/>
        </w:rPr>
        <w:t>عزرا، بحسب التقليد</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538–457 قبل الميلاد</w:t>
      </w:r>
    </w:p>
    <w:p>
      <w:pPr>
        <w:pStyle w:val="Heading3"/>
        <w:bidi/>
      </w:pPr>
      <w:r>
        <w:rPr>
          <w:rtl/>
          <w:cs/>
          <w:lang w:val="ar_AE" w:bidi="ar_AE"/>
        </w:rPr>
        <w:t>السياق</w:t>
      </w:r>
    </w:p>
    <w:p>
      <w:pPr>
        <w:bidi/>
      </w:pPr>
      <w:r>
        <w:rPr>
          <w:rtl/>
          <w:cs/>
          <w:lang w:val="ar_AE" w:bidi="ar_AE"/>
        </w:rPr>
      </w:r>
      <w:r>
        <w:rPr>
          <w:rtl/>
          <w:cs/>
          <w:lang w:val="ar_AE" w:bidi="ar_AE"/>
        </w:rPr>
        <w:t>أورشليم، بدءًا من المرحلة الأولى لعودة اليهود من السبي وانتهاءً بوصول عزرا إليها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