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المزامير</w:t>
      </w:r>
      <w:r>
        <w:rPr>
          <w:rtl/>
          <w:cs/>
          <w:lang w:val="ar_AE" w:bidi="ar_AE"/>
        </w:rPr>
      </w:r>
    </w:p>
    <w:p>
      <w:pPr>
        <w:bidi/>
      </w:pPr>
      <w:r>
        <w:rPr>
          <w:rtl/>
          <w:cs/>
          <w:lang w:val="ar_AE" w:bidi="ar_AE"/>
        </w:rPr>
      </w:r>
      <w:r>
        <w:rPr>
          <w:rtl/>
          <w:cs/>
          <w:lang w:val="ar_AE" w:bidi="ar_AE"/>
        </w:rPr>
        <w:t>سِفر المزامير</w:t>
      </w:r>
    </w:p>
    <w:p>
      <w:pPr>
        <w:pStyle w:val="Heading3"/>
        <w:bidi/>
      </w:pPr>
      <w:r>
        <w:rPr>
          <w:rtl/>
          <w:cs/>
          <w:lang w:val="ar_AE" w:bidi="ar_AE"/>
        </w:rPr>
        <w:t>الهدف</w:t>
      </w:r>
    </w:p>
    <w:p>
      <w:pPr>
        <w:bidi/>
      </w:pPr>
      <w:r>
        <w:rPr>
          <w:rtl/>
          <w:cs/>
          <w:lang w:val="ar_AE" w:bidi="ar_AE"/>
        </w:rPr>
      </w:r>
      <w:r>
        <w:rPr>
          <w:rtl/>
          <w:cs/>
          <w:lang w:val="ar_AE" w:bidi="ar_AE"/>
        </w:rPr>
        <w:t>تقديم التسبيح والصلاة لله، وتزويد شعب الله بنصوص للعبادة، والتأمل في سيادة الله وبعض أصعب أسئلة الحياة.</w:t>
      </w:r>
    </w:p>
    <w:p>
      <w:pPr>
        <w:pStyle w:val="Heading3"/>
        <w:bidi/>
      </w:pPr>
      <w:r>
        <w:rPr>
          <w:rtl/>
          <w:cs/>
          <w:lang w:val="ar_AE" w:bidi="ar_AE"/>
        </w:rPr>
        <w:t>الكاتب</w:t>
      </w:r>
    </w:p>
    <w:p>
      <w:pPr>
        <w:bidi/>
      </w:pPr>
      <w:r>
        <w:rPr>
          <w:rtl/>
          <w:cs/>
          <w:lang w:val="ar_AE" w:bidi="ar_AE"/>
        </w:rPr>
      </w:r>
      <w:r>
        <w:rPr>
          <w:rtl/>
          <w:cs/>
          <w:lang w:val="ar_AE" w:bidi="ar_AE"/>
        </w:rPr>
        <w:t>متنوع؛ قرابة النصف منسوب إلى داود</w:t>
      </w:r>
    </w:p>
    <w:p>
      <w:pPr>
        <w:pStyle w:val="Heading3"/>
        <w:bidi/>
      </w:pPr>
      <w:r>
        <w:rPr>
          <w:rtl/>
          <w:cs/>
          <w:lang w:val="ar_AE" w:bidi="ar_AE"/>
        </w:rPr>
        <w:t>الزمن</w:t>
      </w:r>
    </w:p>
    <w:p>
      <w:pPr>
        <w:bidi/>
      </w:pPr>
      <w:r>
        <w:rPr>
          <w:rtl/>
          <w:cs/>
          <w:lang w:val="ar_AE" w:bidi="ar_AE"/>
        </w:rPr>
      </w:r>
      <w:r>
        <w:rPr>
          <w:rtl/>
          <w:cs/>
          <w:lang w:val="ar_AE" w:bidi="ar_AE"/>
        </w:rPr>
        <w:t>كُتبَ على مدار قرون عدة؛ على الأرجح أن تكون عملية الجمع والتحرير قد اكتملت بعد السبي البابلي</w:t>
      </w:r>
    </w:p>
    <w:p>
      <w:pPr>
        <w:pStyle w:val="Heading3"/>
        <w:bidi/>
      </w:pPr>
      <w:r>
        <w:rPr>
          <w:rtl/>
          <w:cs/>
          <w:lang w:val="ar_AE" w:bidi="ar_AE"/>
        </w:rPr>
        <w:t>السياق</w:t>
      </w:r>
    </w:p>
    <w:p>
      <w:pPr>
        <w:bidi/>
      </w:pPr>
      <w:r>
        <w:rPr>
          <w:rtl/>
          <w:cs/>
          <w:lang w:val="ar_AE" w:bidi="ar_AE"/>
        </w:rPr>
      </w:r>
      <w:r>
        <w:rPr>
          <w:rtl/>
          <w:cs/>
          <w:lang w:val="ar_AE" w:bidi="ar_AE"/>
        </w:rPr>
        <w:t>متنوعة، لكن مواضع فترة ما بعد السبي تمثل الكثير من النشاط التحريري وتجميع المزامير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