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يوئيل</w:t>
      </w:r>
      <w:r>
        <w:rPr>
          <w:rtl/>
          <w:cs/>
          <w:lang w:val="ar_AE" w:bidi="ar_AE"/>
        </w:rPr>
      </w:r>
    </w:p>
    <w:p>
      <w:pPr>
        <w:bidi/>
      </w:pPr>
      <w:r>
        <w:rPr>
          <w:rtl/>
          <w:cs/>
          <w:lang w:val="ar_AE" w:bidi="ar_AE"/>
        </w:rPr>
      </w:r>
      <w:r>
        <w:rPr>
          <w:rtl/>
          <w:cs/>
          <w:lang w:val="ar_AE" w:bidi="ar_AE"/>
        </w:rPr>
        <w:t>سِفر يوئيل</w:t>
      </w:r>
    </w:p>
    <w:p>
      <w:pPr>
        <w:pStyle w:val="Heading3"/>
        <w:bidi/>
      </w:pPr>
      <w:r>
        <w:rPr>
          <w:rtl/>
          <w:cs/>
          <w:lang w:val="ar_AE" w:bidi="ar_AE"/>
        </w:rPr>
        <w:t>الهدف</w:t>
      </w:r>
    </w:p>
    <w:p>
      <w:pPr>
        <w:bidi/>
      </w:pPr>
      <w:r>
        <w:rPr>
          <w:rtl/>
          <w:cs/>
          <w:lang w:val="ar_AE" w:bidi="ar_AE"/>
        </w:rPr>
      </w:r>
      <w:r>
        <w:rPr>
          <w:rtl/>
          <w:cs/>
          <w:lang w:val="ar_AE" w:bidi="ar_AE"/>
        </w:rPr>
        <w:t>إظهار سيادة الله ودينونته، وتحفيز القرَّاء على التوبة، والوعد باسترداد الله لهم</w:t>
      </w:r>
    </w:p>
    <w:p>
      <w:pPr>
        <w:pStyle w:val="Heading3"/>
        <w:bidi/>
      </w:pPr>
      <w:r>
        <w:rPr>
          <w:rtl/>
          <w:cs/>
          <w:lang w:val="ar_AE" w:bidi="ar_AE"/>
        </w:rPr>
        <w:t>الكاتب</w:t>
      </w:r>
    </w:p>
    <w:p>
      <w:pPr>
        <w:bidi/>
      </w:pPr>
      <w:r>
        <w:rPr>
          <w:rtl/>
          <w:cs/>
          <w:lang w:val="ar_AE" w:bidi="ar_AE"/>
        </w:rPr>
      </w:r>
      <w:r>
        <w:rPr>
          <w:rtl/>
          <w:cs/>
          <w:lang w:val="ar_AE" w:bidi="ar_AE"/>
        </w:rPr>
        <w:t>سفر يوئيل</w:t>
      </w:r>
    </w:p>
    <w:p>
      <w:pPr>
        <w:pStyle w:val="Heading3"/>
        <w:bidi/>
      </w:pPr>
      <w:r>
        <w:rPr>
          <w:rtl/>
          <w:cs/>
          <w:lang w:val="ar_AE" w:bidi="ar_AE"/>
        </w:rPr>
        <w:t>الزمن</w:t>
      </w:r>
    </w:p>
    <w:p>
      <w:pPr>
        <w:bidi/>
      </w:pPr>
      <w:r>
        <w:rPr>
          <w:rtl/>
          <w:cs/>
          <w:lang w:val="ar_AE" w:bidi="ar_AE"/>
        </w:rPr>
      </w:r>
      <w:r>
        <w:rPr>
          <w:rtl/>
          <w:cs/>
          <w:lang w:val="ar_AE" w:bidi="ar_AE"/>
        </w:rPr>
        <w:t>مجهول</w:t>
      </w:r>
    </w:p>
    <w:p>
      <w:pPr>
        <w:pStyle w:val="Heading3"/>
        <w:bidi/>
      </w:pPr>
      <w:r>
        <w:rPr>
          <w:rtl/>
          <w:cs/>
          <w:lang w:val="ar_AE" w:bidi="ar_AE"/>
        </w:rPr>
        <w:t>السياق</w:t>
      </w:r>
    </w:p>
    <w:p>
      <w:pPr>
        <w:bidi/>
      </w:pPr>
      <w:r>
        <w:rPr>
          <w:rtl/>
          <w:cs/>
          <w:lang w:val="ar_AE" w:bidi="ar_AE"/>
        </w:rPr>
      </w:r>
      <w:r>
        <w:rPr>
          <w:rtl/>
          <w:cs/>
          <w:lang w:val="ar_AE" w:bidi="ar_AE"/>
        </w:rPr>
        <w:t>أرض يهوذا، خلال وباء الجراد الكارثي (له تفسيرات متنوعة حرفيًّا ومجازيًّا)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