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MRK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إنجيل مرقس</w:t>
      </w:r>
      <w:r>
        <w:rPr>
          <w:rtl/>
          <w:cs/>
          <w:lang w:val="ar_AE" w:bidi="ar_AE"/>
        </w:rPr>
      </w:r>
    </w:p>
    <w:p>
      <w:pPr>
        <w:bidi/>
      </w:pPr>
      <w:r>
        <w:rPr>
          <w:rtl/>
          <w:cs/>
          <w:lang w:val="ar_AE" w:bidi="ar_AE"/>
        </w:rPr>
      </w:r>
      <w:r>
        <w:rPr>
          <w:rtl/>
          <w:cs/>
          <w:lang w:val="ar_AE" w:bidi="ar_AE"/>
        </w:rPr>
        <w:t>إنجيل مرقس</w:t>
      </w:r>
    </w:p>
    <w:p>
      <w:pPr>
        <w:pStyle w:val="Heading3"/>
        <w:bidi/>
      </w:pPr>
      <w:r>
        <w:rPr>
          <w:rtl/>
          <w:cs/>
          <w:lang w:val="ar_AE" w:bidi="ar_AE"/>
        </w:rPr>
        <w:t>الهدف</w:t>
      </w:r>
    </w:p>
    <w:p>
      <w:pPr>
        <w:bidi/>
      </w:pPr>
      <w:r>
        <w:rPr>
          <w:rtl/>
          <w:cs/>
          <w:lang w:val="ar_AE" w:bidi="ar_AE"/>
        </w:rPr>
      </w:r>
      <w:r>
        <w:rPr>
          <w:rtl/>
          <w:cs/>
          <w:lang w:val="ar_AE" w:bidi="ar_AE"/>
        </w:rPr>
        <w:t>نقل الأخبار السارة عن الرب يسوع، الذي هو المسيح وابن الله</w:t>
      </w:r>
    </w:p>
    <w:p>
      <w:pPr>
        <w:pStyle w:val="Heading3"/>
        <w:bidi/>
      </w:pPr>
      <w:r>
        <w:rPr>
          <w:rtl/>
          <w:cs/>
          <w:lang w:val="ar_AE" w:bidi="ar_AE"/>
        </w:rPr>
        <w:t>الكاتب</w:t>
      </w:r>
    </w:p>
    <w:p>
      <w:pPr>
        <w:bidi/>
      </w:pPr>
      <w:r>
        <w:rPr>
          <w:rtl/>
          <w:cs/>
          <w:lang w:val="ar_AE" w:bidi="ar_AE"/>
        </w:rPr>
      </w:r>
      <w:r>
        <w:rPr>
          <w:rtl/>
          <w:cs/>
          <w:lang w:val="ar_AE" w:bidi="ar_AE"/>
        </w:rPr>
        <w:t>يوحنا مرقس، الذي، بحسب التقليد القديم، كَتَبَ مذكرات بطرس الرسول</w:t>
      </w:r>
    </w:p>
    <w:p>
      <w:pPr>
        <w:pStyle w:val="Heading3"/>
        <w:bidi/>
      </w:pPr>
      <w:r>
        <w:rPr>
          <w:rtl/>
          <w:cs/>
          <w:lang w:val="ar_AE" w:bidi="ar_AE"/>
        </w:rPr>
        <w:t>الزمن</w:t>
      </w:r>
    </w:p>
    <w:p>
      <w:pPr>
        <w:bidi/>
      </w:pPr>
      <w:r>
        <w:rPr>
          <w:rtl/>
          <w:cs/>
          <w:lang w:val="ar_AE" w:bidi="ar_AE"/>
        </w:rPr>
      </w:r>
      <w:r>
        <w:rPr>
          <w:rtl/>
          <w:cs/>
          <w:lang w:val="ar_AE" w:bidi="ar_AE"/>
        </w:rPr>
        <w:t>كُتبَ على الأرجح في وقت ما خلال أواخر ستينيات القرن الأول بعد الميلاد</w:t>
      </w:r>
    </w:p>
    <w:p>
      <w:pPr>
        <w:pStyle w:val="Heading3"/>
        <w:bidi/>
      </w:pPr>
      <w:r>
        <w:rPr>
          <w:rtl/>
          <w:cs/>
          <w:lang w:val="ar_AE" w:bidi="ar_AE"/>
        </w:rPr>
        <w:t>السياق</w:t>
      </w:r>
    </w:p>
    <w:p>
      <w:pPr>
        <w:bidi/>
      </w:pPr>
      <w:r>
        <w:rPr>
          <w:rtl/>
          <w:cs/>
          <w:lang w:val="ar_AE" w:bidi="ar_AE"/>
        </w:rPr>
      </w:r>
      <w:r>
        <w:rPr>
          <w:rtl/>
          <w:cs/>
          <w:lang w:val="ar_AE" w:bidi="ar_AE"/>
        </w:rPr>
        <w:t>كُتبَ في وقت كان فيه المسيحيون في العالم الروماني يواجهون الاضطهاد، ما استلزم البدء في تدوين تقاليد الإنجيل، وكان خراب أورشليم وشيكًا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