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JHN</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إنجيل يوحنا</w:t>
      </w:r>
      <w:r>
        <w:rPr>
          <w:rtl/>
          <w:cs/>
          <w:lang w:val="ar_AE" w:bidi="ar_AE"/>
        </w:rPr>
      </w:r>
    </w:p>
    <w:p>
      <w:pPr>
        <w:bidi/>
      </w:pPr>
      <w:r>
        <w:rPr>
          <w:rtl/>
          <w:cs/>
          <w:lang w:val="ar_AE" w:bidi="ar_AE"/>
        </w:rPr>
      </w:r>
      <w:r>
        <w:rPr>
          <w:rtl/>
          <w:cs/>
          <w:lang w:val="ar_AE" w:bidi="ar_AE"/>
        </w:rPr>
        <w:t>إنجيل يوحنا</w:t>
      </w:r>
    </w:p>
    <w:p>
      <w:pPr>
        <w:pStyle w:val="Heading3"/>
        <w:bidi/>
      </w:pPr>
      <w:r>
        <w:rPr>
          <w:rtl/>
          <w:cs/>
          <w:lang w:val="ar_AE" w:bidi="ar_AE"/>
        </w:rPr>
        <w:t>الهدف</w:t>
      </w:r>
    </w:p>
    <w:p>
      <w:pPr>
        <w:bidi/>
      </w:pPr>
      <w:r>
        <w:rPr>
          <w:rtl/>
          <w:cs/>
          <w:lang w:val="ar_AE" w:bidi="ar_AE"/>
        </w:rPr>
      </w:r>
      <w:r>
        <w:rPr>
          <w:rtl/>
          <w:cs/>
          <w:lang w:val="ar_AE" w:bidi="ar_AE"/>
        </w:rPr>
        <w:t>خَلْق الإيمان بيسوع باعتباره المسيَّا وابن الله، وربط هذا الإيمان بالحياة الأبديَّة</w:t>
      </w:r>
    </w:p>
    <w:p>
      <w:pPr>
        <w:pStyle w:val="Heading3"/>
        <w:bidi/>
      </w:pPr>
      <w:r>
        <w:rPr>
          <w:rtl/>
          <w:cs/>
          <w:lang w:val="ar_AE" w:bidi="ar_AE"/>
        </w:rPr>
        <w:t>الكاتب</w:t>
      </w:r>
    </w:p>
    <w:p>
      <w:pPr>
        <w:bidi/>
      </w:pPr>
      <w:r>
        <w:rPr>
          <w:rtl/>
          <w:cs/>
          <w:lang w:val="ar_AE" w:bidi="ar_AE"/>
        </w:rPr>
      </w:r>
      <w:r>
        <w:rPr>
          <w:rtl/>
          <w:cs/>
          <w:lang w:val="ar_AE" w:bidi="ar_AE"/>
        </w:rPr>
        <w:t>على الأرجح "التلميذ المحبوب"، الذي يُعرَّف تقليديَّا بأنه يوحنا بن زبدي</w:t>
      </w:r>
    </w:p>
    <w:p>
      <w:pPr>
        <w:pStyle w:val="Heading3"/>
        <w:bidi/>
      </w:pPr>
      <w:r>
        <w:rPr>
          <w:rtl/>
          <w:cs/>
          <w:lang w:val="ar_AE" w:bidi="ar_AE"/>
        </w:rPr>
        <w:t>الزمن</w:t>
      </w:r>
    </w:p>
    <w:p>
      <w:pPr>
        <w:bidi/>
      </w:pPr>
      <w:r>
        <w:rPr>
          <w:rtl/>
          <w:cs/>
          <w:lang w:val="ar_AE" w:bidi="ar_AE"/>
        </w:rPr>
      </w:r>
      <w:r>
        <w:rPr>
          <w:rtl/>
          <w:cs/>
          <w:lang w:val="ar_AE" w:bidi="ar_AE"/>
        </w:rPr>
        <w:t>نحو عام 90 بعد الميلاد</w:t>
      </w:r>
    </w:p>
    <w:p>
      <w:pPr>
        <w:pStyle w:val="Heading3"/>
        <w:bidi/>
      </w:pPr>
      <w:r>
        <w:rPr>
          <w:rtl/>
          <w:cs/>
          <w:lang w:val="ar_AE" w:bidi="ar_AE"/>
        </w:rPr>
        <w:t>السياق</w:t>
      </w:r>
    </w:p>
    <w:p>
      <w:pPr>
        <w:bidi/>
      </w:pPr>
      <w:r>
        <w:rPr>
          <w:rtl/>
          <w:cs/>
          <w:lang w:val="ar_AE" w:bidi="ar_AE"/>
        </w:rPr>
      </w:r>
      <w:r>
        <w:rPr>
          <w:rtl/>
          <w:cs/>
          <w:lang w:val="ar_AE" w:bidi="ar_AE"/>
        </w:rPr>
        <w:t>كُتبَ في آخر أيام يوحنا في وقت كان فيه أتباع يسوع الأوائل يواجهون نزاعًا من المجامع المحليَّة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