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JAS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رسالة يعقوب</w:t>
      </w:r>
      <w:r>
        <w:rPr>
          <w:rtl/>
          <w:cs/>
          <w:lang w:val="ar_AE" w:bidi="ar_AE"/>
        </w:rPr>
      </w:r>
    </w:p>
    <w:p>
      <w:pPr>
        <w:bidi/>
      </w:pPr>
      <w:r>
        <w:rPr>
          <w:rtl/>
          <w:cs/>
          <w:lang w:val="ar_AE" w:bidi="ar_AE"/>
        </w:rPr>
      </w:r>
      <w:r>
        <w:rPr>
          <w:rtl/>
          <w:cs/>
          <w:lang w:val="ar_AE" w:bidi="ar_AE"/>
        </w:rPr>
        <w:t>رسالة يعقوب</w:t>
      </w:r>
    </w:p>
    <w:p>
      <w:pPr>
        <w:pStyle w:val="Heading3"/>
        <w:bidi/>
      </w:pPr>
      <w:r>
        <w:rPr>
          <w:rtl/>
          <w:cs/>
          <w:lang w:val="ar_AE" w:bidi="ar_AE"/>
        </w:rPr>
        <w:t>الهدف</w:t>
      </w:r>
    </w:p>
    <w:p>
      <w:pPr>
        <w:bidi/>
      </w:pPr>
      <w:r>
        <w:rPr>
          <w:rtl/>
          <w:cs/>
          <w:lang w:val="ar_AE" w:bidi="ar_AE"/>
        </w:rPr>
      </w:r>
      <w:r>
        <w:rPr>
          <w:rtl/>
          <w:cs/>
          <w:lang w:val="ar_AE" w:bidi="ar_AE"/>
        </w:rPr>
        <w:t>مشاركة الحكمة العملية، وتشجيع القرَّاء للحفاظ على إيمانهم، وهو إيمان نَشِط يركِّز على الآخرين</w:t>
      </w:r>
    </w:p>
    <w:p>
      <w:pPr>
        <w:pStyle w:val="Heading3"/>
        <w:bidi/>
      </w:pPr>
      <w:r>
        <w:rPr>
          <w:rtl/>
          <w:cs/>
          <w:lang w:val="ar_AE" w:bidi="ar_AE"/>
        </w:rPr>
        <w:t>الكاتب</w:t>
      </w:r>
    </w:p>
    <w:p>
      <w:pPr>
        <w:bidi/>
      </w:pPr>
      <w:r>
        <w:rPr>
          <w:rtl/>
          <w:cs/>
          <w:lang w:val="ar_AE" w:bidi="ar_AE"/>
        </w:rPr>
      </w:r>
      <w:r>
        <w:rPr>
          <w:rtl/>
          <w:cs/>
          <w:lang w:val="ar_AE" w:bidi="ar_AE"/>
        </w:rPr>
        <w:t>يعقوب، أخو الرب يسوع</w:t>
      </w:r>
    </w:p>
    <w:p>
      <w:pPr>
        <w:pStyle w:val="Heading3"/>
        <w:bidi/>
      </w:pPr>
      <w:r>
        <w:rPr>
          <w:rtl/>
          <w:cs/>
          <w:lang w:val="ar_AE" w:bidi="ar_AE"/>
        </w:rPr>
        <w:t>الزمن</w:t>
      </w:r>
    </w:p>
    <w:p>
      <w:pPr>
        <w:bidi/>
      </w:pPr>
      <w:r>
        <w:rPr>
          <w:rtl/>
          <w:cs/>
          <w:lang w:val="ar_AE" w:bidi="ar_AE"/>
        </w:rPr>
      </w:r>
      <w:r>
        <w:rPr>
          <w:rtl/>
          <w:cs/>
          <w:lang w:val="ar_AE" w:bidi="ar_AE"/>
        </w:rPr>
        <w:t>نحو عام 46 بعد الميلاد</w:t>
      </w:r>
    </w:p>
    <w:p>
      <w:pPr>
        <w:pStyle w:val="Heading3"/>
        <w:bidi/>
      </w:pPr>
      <w:r>
        <w:rPr>
          <w:rtl/>
          <w:cs/>
          <w:lang w:val="ar_AE" w:bidi="ar_AE"/>
        </w:rPr>
        <w:t>السياق</w:t>
      </w:r>
    </w:p>
    <w:p>
      <w:pPr>
        <w:bidi/>
      </w:pPr>
      <w:r>
        <w:rPr>
          <w:rtl/>
          <w:cs/>
          <w:lang w:val="ar_AE" w:bidi="ar_AE"/>
        </w:rPr>
      </w:r>
      <w:r>
        <w:rPr>
          <w:rtl/>
          <w:cs/>
          <w:lang w:val="ar_AE" w:bidi="ar_AE"/>
        </w:rPr>
        <w:t>كُتبت من أورشليم، على الأرجح، إلى المؤمنين اليهود الذين تفرقوا بعد الاضطهاد الذي بدأ باستشهاد استفانوس.</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