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3JN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يوحنا الثالثة</w:t>
      </w:r>
      <w:r>
        <w:rPr>
          <w:rtl/>
          <w:cs/>
          <w:lang w:val="ar_AE" w:bidi="ar_AE"/>
        </w:rPr>
      </w:r>
    </w:p>
    <w:p>
      <w:pPr>
        <w:bidi/>
      </w:pPr>
      <w:r>
        <w:rPr>
          <w:rtl/>
          <w:cs/>
          <w:lang w:val="ar_AE" w:bidi="ar_AE"/>
        </w:rPr>
      </w:r>
      <w:r>
        <w:rPr>
          <w:rtl/>
          <w:cs/>
          <w:lang w:val="ar_AE" w:bidi="ar_AE"/>
        </w:rPr>
        <w:t>رسالة يوحنا الثالثة</w:t>
      </w:r>
    </w:p>
    <w:p>
      <w:pPr>
        <w:pStyle w:val="Heading3"/>
        <w:bidi/>
      </w:pPr>
      <w:r>
        <w:rPr>
          <w:rtl/>
          <w:cs/>
          <w:lang w:val="ar_AE" w:bidi="ar_AE"/>
        </w:rPr>
        <w:t>الهدف</w:t>
      </w:r>
    </w:p>
    <w:p>
      <w:pPr>
        <w:bidi/>
      </w:pPr>
      <w:r>
        <w:rPr>
          <w:rtl/>
          <w:cs/>
          <w:lang w:val="ar_AE" w:bidi="ar_AE"/>
        </w:rPr>
      </w:r>
      <w:r>
        <w:rPr>
          <w:rtl/>
          <w:cs/>
          <w:lang w:val="ar_AE" w:bidi="ar_AE"/>
        </w:rPr>
        <w:t>مدح غايُس على ضيافته مبعوثي الرسول، وتوبيخ ديوتريفِس</w:t>
      </w:r>
    </w:p>
    <w:p>
      <w:pPr>
        <w:pStyle w:val="Heading3"/>
        <w:bidi/>
      </w:pPr>
      <w:r>
        <w:rPr>
          <w:rtl/>
          <w:cs/>
          <w:lang w:val="ar_AE" w:bidi="ar_AE"/>
        </w:rPr>
        <w:t>الكاتب</w:t>
      </w:r>
    </w:p>
    <w:p>
      <w:pPr>
        <w:bidi/>
      </w:pPr>
      <w:r>
        <w:rPr>
          <w:rtl/>
          <w:cs/>
          <w:lang w:val="ar_AE" w:bidi="ar_AE"/>
        </w:rPr>
      </w:r>
      <w:r>
        <w:rPr>
          <w:rtl/>
          <w:cs/>
          <w:lang w:val="ar_AE" w:bidi="ar_AE"/>
        </w:rPr>
        <w:t>على الأرجح يوحنا الرسول</w:t>
      </w:r>
    </w:p>
    <w:p>
      <w:pPr>
        <w:pStyle w:val="Heading3"/>
        <w:bidi/>
      </w:pPr>
      <w:r>
        <w:rPr>
          <w:rtl/>
          <w:cs/>
          <w:lang w:val="ar_AE" w:bidi="ar_AE"/>
        </w:rPr>
        <w:t>الزمن</w:t>
      </w:r>
    </w:p>
    <w:p>
      <w:pPr>
        <w:bidi/>
      </w:pPr>
      <w:r>
        <w:rPr>
          <w:rtl/>
          <w:cs/>
          <w:lang w:val="ar_AE" w:bidi="ar_AE"/>
        </w:rPr>
      </w:r>
      <w:r>
        <w:rPr>
          <w:rtl/>
          <w:cs/>
          <w:lang w:val="ar_AE" w:bidi="ar_AE"/>
        </w:rPr>
        <w:t>نحو عام 85–90 بعد الميلاد</w:t>
      </w:r>
    </w:p>
    <w:p>
      <w:pPr>
        <w:pStyle w:val="Heading3"/>
        <w:bidi/>
      </w:pPr>
      <w:r>
        <w:rPr>
          <w:rtl/>
          <w:cs/>
          <w:lang w:val="ar_AE" w:bidi="ar_AE"/>
        </w:rPr>
        <w:t>السياق</w:t>
      </w:r>
    </w:p>
    <w:p>
      <w:pPr>
        <w:bidi/>
      </w:pPr>
      <w:r>
        <w:rPr>
          <w:rtl/>
          <w:cs/>
          <w:lang w:val="ar_AE" w:bidi="ar_AE"/>
        </w:rPr>
      </w:r>
      <w:r>
        <w:rPr>
          <w:rtl/>
          <w:cs/>
          <w:lang w:val="ar_AE" w:bidi="ar_AE"/>
        </w:rPr>
        <w:t>كُتبت إلى شخص يُدعى غايُس، ردًا على ضيافته، وعدم ضيافة رجل يُدعى ديوتريفِس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