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Study Notes (Book Intro Summaries)</w:t>
      </w:r>
      <w:r>
        <w:rPr>
          <w:lang w:val="en_US" w:bidi="en_US"/>
        </w:rPr>
      </w:r>
    </w:p>
    <w:p>
      <w:pPr/>
      <w:r>
        <w:rPr>
          <w:lang w:val="en_US" w:bidi="en_US"/>
        </w:rPr>
      </w:r>
      <w:r>
        <w:rPr>
          <w:b/>
          <w:lang w:val="en_US" w:bidi="en_US"/>
        </w:rPr>
        <w:t>Aquifer Open Study Notes (Book Intro Summaries)</w:t>
      </w:r>
    </w:p>
    <w:p>
      <w:pPr/>
      <w:r>
        <w:rPr>
          <w:lang w:val="en_US" w:bidi="en_US"/>
        </w:rPr>
      </w:r>
      <w:r>
        <w:rPr>
          <w:lang w:val="en_US" w:bidi="en_US"/>
        </w:rPr>
        <w:t xml:space="preserve">This work is an adaptation of </w:t>
      </w:r>
      <w:r>
        <w:rPr>
          <w:lang w:val="en_US" w:bidi="en_US"/>
        </w:rPr>
        <w:t>Tyndale Open Study Notes</w:t>
      </w:r>
      <w:r>
        <w:rPr>
          <w:lang w:val="en_US" w:bidi="en_US"/>
        </w:rPr>
        <w:t xml:space="preserve"> © 2023 Tyndale House Publishers, licensed under the CC BY-SA 4.0 license. The adaptation, </w:t>
      </w:r>
      <w:r>
        <w:rPr>
          <w:lang w:val="en_US" w:bidi="en_US"/>
        </w:rPr>
        <w:t>Aquifer Open Study Notes</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EXO</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Exodus</w:t>
      </w:r>
      <w:r>
        <w:rPr>
          <w:lang w:val="en_US" w:bidi="en_US"/>
        </w:rPr>
      </w:r>
    </w:p>
    <w:p>
      <w:pPr>
        <w:pStyle w:val="Heading3"/>
      </w:pPr>
      <w:r>
        <w:rPr>
          <w:lang w:val="en_US" w:bidi="en_US"/>
        </w:rPr>
        <w:t>Purpose</w:t>
      </w:r>
    </w:p>
    <w:p>
      <w:pPr/>
      <w:r>
        <w:rPr>
          <w:lang w:val="en_US" w:bidi="en_US"/>
        </w:rPr>
      </w:r>
      <w:r>
        <w:rPr>
          <w:lang w:val="en_US" w:bidi="en_US"/>
        </w:rPr>
        <w:t xml:space="preserve">To recount </w:t>
      </w:r>
    </w:p>
    <w:p>
      <w:pPr>
        <w:pStyle w:val="ListNumber"/>
        <w:numPr>
          <w:ilvl w:val="0"/>
          <w:numId w:val="14"/>
        </w:numPr>
        <w:spacing w:line="240" w:lineRule="auto"/>
        <w:ind w:left="720"/>
      </w:pPr>
      <w:r>
        <w:rPr>
          <w:lang w:val="en_US" w:bidi="en_US"/>
        </w:rPr>
      </w:r>
      <w:r>
        <w:rPr>
          <w:lang w:val="en_US" w:bidi="en_US"/>
        </w:rPr>
        <w:t xml:space="preserve">the deliverance of the Hebrews from Egypt and </w:t>
      </w:r>
    </w:p>
    <w:p>
      <w:pPr>
        <w:pStyle w:val="ListNumber"/>
        <w:spacing w:line="240" w:lineRule="auto"/>
        <w:ind w:left="720"/>
      </w:pPr>
      <w:r>
        <w:rPr>
          <w:lang w:val="en_US" w:bidi="en_US"/>
        </w:rPr>
      </w:r>
      <w:r>
        <w:rPr>
          <w:lang w:val="en_US" w:bidi="en_US"/>
        </w:rPr>
        <w:t>the establishment of their special relationship with God (covenant) and their worship practices</w:t>
      </w:r>
    </w:p>
    <w:p>
      <w:pPr>
        <w:pStyle w:val="Heading3"/>
      </w:pPr>
      <w:r>
        <w:rPr>
          <w:lang w:val="en_US" w:bidi="en_US"/>
        </w:rPr>
        <w:t>Author</w:t>
      </w:r>
    </w:p>
    <w:p>
      <w:pPr/>
      <w:r>
        <w:rPr>
          <w:lang w:val="en_US" w:bidi="en_US"/>
        </w:rPr>
      </w:r>
      <w:r>
        <w:rPr>
          <w:lang w:val="en_US" w:bidi="en_US"/>
        </w:rPr>
        <w:t>Moses, according to tradition</w:t>
      </w:r>
    </w:p>
    <w:p>
      <w:pPr>
        <w:pStyle w:val="Heading3"/>
      </w:pPr>
      <w:r>
        <w:rPr>
          <w:lang w:val="en_US" w:bidi="en_US"/>
        </w:rPr>
        <w:t>Date</w:t>
      </w:r>
    </w:p>
    <w:p>
      <w:pPr/>
      <w:r>
        <w:rPr>
          <w:lang w:val="en_US" w:bidi="en_US"/>
        </w:rPr>
      </w:r>
      <w:r>
        <w:rPr>
          <w:lang w:val="en_US" w:bidi="en_US"/>
        </w:rPr>
        <w:t>Records events that likely occurred in either 1526–1446 BC or 1350–1270 BC</w:t>
      </w:r>
    </w:p>
    <w:p>
      <w:pPr>
        <w:pStyle w:val="Heading3"/>
      </w:pPr>
      <w:r>
        <w:rPr>
          <w:lang w:val="en_US" w:bidi="en_US"/>
        </w:rPr>
        <w:t>Setting</w:t>
      </w:r>
    </w:p>
    <w:p>
      <w:pPr/>
      <w:r>
        <w:rPr>
          <w:lang w:val="en_US" w:bidi="en_US"/>
        </w:rPr>
      </w:r>
      <w:r>
        <w:rPr>
          <w:lang w:val="en_US" w:bidi="en_US"/>
        </w:rPr>
        <w:t>Begins with the Hebrews in slavery in Egypt and ends with the covenant people of God traveling to the promised land</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