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demonstrate God’s providential care of his people </w:t>
      </w:r>
    </w:p>
    <w:p>
      <w:pPr>
        <w:pStyle w:val="ListNumber"/>
        <w:spacing w:line="240" w:lineRule="auto"/>
        <w:ind w:left="720"/>
      </w:pPr>
      <w:r>
        <w:rPr>
          <w:lang w:val="en_US" w:bidi="en_US"/>
        </w:rPr>
      </w:r>
      <w:r>
        <w:rPr>
          <w:lang w:val="en_US" w:bidi="en_US"/>
        </w:rPr>
        <w:t>To trace the origin of the Festival of Purim</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Records events that occurred around 483–473 BC</w:t>
      </w:r>
    </w:p>
    <w:p>
      <w:pPr>
        <w:pStyle w:val="Heading3"/>
      </w:pPr>
      <w:r>
        <w:rPr>
          <w:lang w:val="en_US" w:bidi="en_US"/>
        </w:rPr>
        <w:t>Setting</w:t>
      </w:r>
    </w:p>
    <w:p>
      <w:pPr/>
      <w:r>
        <w:rPr>
          <w:lang w:val="en_US" w:bidi="en_US"/>
        </w:rPr>
      </w:r>
      <w:r>
        <w:rPr>
          <w:lang w:val="en_US" w:bidi="en_US"/>
        </w:rPr>
        <w:t>The Persian capital, Susa, during the reign of Xerxes, after many Jews had returned to Judea</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