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denounce false teachers </w:t>
      </w:r>
    </w:p>
    <w:p>
      <w:pPr>
        <w:pStyle w:val="ListNumber"/>
        <w:spacing w:line="240" w:lineRule="auto"/>
        <w:ind w:left="720"/>
      </w:pPr>
      <w:r>
        <w:rPr>
          <w:lang w:val="en_US" w:bidi="en_US"/>
        </w:rPr>
      </w:r>
      <w:r>
        <w:rPr>
          <w:lang w:val="en_US" w:bidi="en_US"/>
        </w:rPr>
        <w:t>To encourage continued growth in the faith</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 the same groups of believers addressed in 1 Peter, whose communities were being infiltrated by false teachers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