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Samuel</w:t>
      </w:r>
      <w:r>
        <w:rPr>
          <w:lang w:val="fr_FR" w:bidi="fr_FR"/>
        </w:rPr>
      </w:r>
    </w:p>
    <w:p>
      <w:pPr/>
      <w:r>
        <w:rPr>
          <w:lang w:val="fr_FR" w:bidi="fr_FR"/>
        </w:rPr>
      </w:r>
      <w:r>
        <w:rPr>
          <w:lang w:val="fr_FR" w:bidi="fr_FR"/>
        </w:rPr>
        <w:t>Le deuxième livre de Samuel</w:t>
      </w:r>
    </w:p>
    <w:p>
      <w:pPr>
        <w:pStyle w:val="Heading3"/>
      </w:pPr>
      <w:r>
        <w:rPr>
          <w:lang w:val="fr_FR" w:bidi="fr_FR"/>
        </w:rPr>
        <w:t>Dessein</w:t>
      </w:r>
    </w:p>
    <w:p>
      <w:pPr/>
      <w:r>
        <w:rPr>
          <w:lang w:val="fr_FR" w:bidi="fr_FR"/>
        </w:rPr>
      </w:r>
      <w:r>
        <w:rPr>
          <w:lang w:val="fr_FR" w:bidi="fr_FR"/>
        </w:rPr>
        <w:t>Décrire le règne de David et manifester l’engagement de Dieu envers sa lignée</w:t>
      </w:r>
    </w:p>
    <w:p>
      <w:pPr>
        <w:pStyle w:val="Heading3"/>
      </w:pPr>
      <w:r>
        <w:rPr>
          <w:lang w:val="fr_FR" w:bidi="fr_FR"/>
        </w:rPr>
        <w:t>Auteur</w:t>
      </w:r>
    </w:p>
    <w:p>
      <w:pPr/>
      <w:r>
        <w:rPr>
          <w:lang w:val="fr_FR" w:bidi="fr_FR"/>
        </w:rPr>
      </w:r>
      <w:r>
        <w:rPr>
          <w:lang w:val="fr_FR" w:bidi="fr_FR"/>
        </w:rPr>
        <w:t>Inconnue</w:t>
      </w:r>
    </w:p>
    <w:p>
      <w:pPr>
        <w:pStyle w:val="Heading3"/>
      </w:pPr>
      <w:r>
        <w:rPr>
          <w:lang w:val="fr_FR" w:bidi="fr_FR"/>
        </w:rPr>
        <w:t>Date</w:t>
      </w:r>
    </w:p>
    <w:p>
      <w:pPr/>
      <w:r>
        <w:rPr>
          <w:lang w:val="fr_FR" w:bidi="fr_FR"/>
        </w:rPr>
      </w:r>
      <w:r>
        <w:rPr>
          <w:lang w:val="fr_FR" w:bidi="fr_FR"/>
        </w:rPr>
        <w:t>Rapporte des événements survenus vers 1011–971 av. J.-C.</w:t>
      </w:r>
    </w:p>
    <w:p>
      <w:pPr>
        <w:pStyle w:val="Heading3"/>
      </w:pPr>
      <w:r>
        <w:rPr>
          <w:lang w:val="fr_FR" w:bidi="fr_FR"/>
        </w:rPr>
        <w:t>Cadre</w:t>
      </w:r>
    </w:p>
    <w:p>
      <w:pPr/>
      <w:r>
        <w:rPr>
          <w:lang w:val="fr_FR" w:bidi="fr_FR"/>
        </w:rPr>
      </w:r>
      <w:r>
        <w:rPr>
          <w:lang w:val="fr_FR" w:bidi="fr_FR"/>
        </w:rPr>
        <w:t>Après la mort de Saül, David a cherché à établir son trône sur tout Israël et à étendre le territoire d’Israël</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