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JDG</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Hakim-Hakim</w:t>
      </w:r>
      <w:r>
        <w:rPr>
          <w:lang w:val="id_ID" w:bidi="id_ID"/>
        </w:rPr>
      </w:r>
    </w:p>
    <w:p>
      <w:pPr/>
      <w:r>
        <w:rPr>
          <w:lang w:val="id_ID" w:bidi="id_ID"/>
        </w:rPr>
      </w:r>
      <w:r>
        <w:rPr>
          <w:lang w:val="id_ID" w:bidi="id_ID"/>
        </w:rPr>
        <w:t>Kitab Hakim-Hakim</w:t>
      </w:r>
    </w:p>
    <w:p>
      <w:pPr>
        <w:pStyle w:val="Heading3"/>
      </w:pPr>
      <w:r>
        <w:rPr>
          <w:lang w:val="id_ID" w:bidi="id_ID"/>
        </w:rPr>
        <w:t>Tujuan</w:t>
      </w:r>
    </w:p>
    <w:p>
      <w:pPr/>
      <w:r>
        <w:rPr>
          <w:lang w:val="id_ID" w:bidi="id_ID"/>
        </w:rPr>
      </w:r>
      <w:r>
        <w:rPr>
          <w:lang w:val="id_ID" w:bidi="id_ID"/>
        </w:rPr>
        <w:t>Menggambarkan zaman hakim-hakim dan mengajukan usul tentang Kerajaan Israel</w:t>
      </w:r>
    </w:p>
    <w:p>
      <w:pPr>
        <w:pStyle w:val="Heading3"/>
      </w:pPr>
      <w:r>
        <w:rPr>
          <w:lang w:val="id_ID" w:bidi="id_ID"/>
        </w:rPr>
        <w:t>Penulis</w:t>
      </w:r>
    </w:p>
    <w:p>
      <w:pPr/>
      <w:r>
        <w:rPr>
          <w:lang w:val="id_ID" w:bidi="id_ID"/>
        </w:rPr>
      </w:r>
      <w:r>
        <w:rPr>
          <w:lang w:val="id_ID" w:bidi="id_ID"/>
        </w:rPr>
        <w:t>Tidak diketahui</w:t>
      </w:r>
    </w:p>
    <w:p>
      <w:pPr>
        <w:pStyle w:val="Heading3"/>
      </w:pPr>
      <w:r>
        <w:rPr>
          <w:lang w:val="id_ID" w:bidi="id_ID"/>
        </w:rPr>
        <w:t>Tahun Penulisan</w:t>
      </w:r>
    </w:p>
    <w:p>
      <w:pPr/>
      <w:r>
        <w:rPr>
          <w:lang w:val="id_ID" w:bidi="id_ID"/>
        </w:rPr>
      </w:r>
      <w:r>
        <w:rPr>
          <w:lang w:val="id_ID" w:bidi="id_ID"/>
        </w:rPr>
        <w:t>Mencatat peristiwa-peristiwa yang terjadi antara tahun 1376–1050 SM atau 1200–1050 SM</w:t>
      </w:r>
    </w:p>
    <w:p>
      <w:pPr>
        <w:pStyle w:val="Heading3"/>
      </w:pPr>
      <w:r>
        <w:rPr>
          <w:lang w:val="id_ID" w:bidi="id_ID"/>
        </w:rPr>
        <w:t>Latar Belakang</w:t>
      </w:r>
    </w:p>
    <w:p>
      <w:pPr/>
      <w:r>
        <w:rPr>
          <w:lang w:val="id_ID" w:bidi="id_ID"/>
        </w:rPr>
      </w:r>
      <w:r>
        <w:rPr>
          <w:lang w:val="id_ID" w:bidi="id_ID"/>
        </w:rPr>
        <w:t>Israel gagal menaklukkan Tanah Perjanjian sepenuhnya dan berulang kali menghadapi penindasan dari musuh-musuhnya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