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Tawarikh</w:t>
      </w:r>
      <w:r>
        <w:rPr>
          <w:lang w:val="id_ID" w:bidi="id_ID"/>
        </w:rPr>
      </w:r>
    </w:p>
    <w:p>
      <w:pPr/>
      <w:r>
        <w:rPr>
          <w:lang w:val="id_ID" w:bidi="id_ID"/>
        </w:rPr>
      </w:r>
      <w:r>
        <w:rPr>
          <w:lang w:val="id_ID" w:bidi="id_ID"/>
        </w:rPr>
        <w:t>Kitab 2 Tawarikh</w:t>
      </w:r>
    </w:p>
    <w:p>
      <w:pPr>
        <w:pStyle w:val="Heading3"/>
      </w:pPr>
      <w:r>
        <w:rPr>
          <w:lang w:val="id_ID" w:bidi="id_ID"/>
        </w:rPr>
        <w:t>Tujuan</w:t>
      </w:r>
    </w:p>
    <w:p>
      <w:pPr/>
      <w:r>
        <w:rPr>
          <w:lang w:val="id_ID" w:bidi="id_ID"/>
        </w:rPr>
      </w:r>
      <w:r>
        <w:rPr>
          <w:lang w:val="id_ID" w:bidi="id_ID"/>
        </w:rPr>
        <w:t>Memberi harapan kepada pembaca tentang pemulihan Kerajaan Israel yang dicirikan oleh ibadah yang sejati</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Kemungkinan ditulis sekitar tahun 400 SM, mencatat peristiwa-peristiwa yang terjadi sekitar tahun 971–538 SM</w:t>
      </w:r>
    </w:p>
    <w:p>
      <w:pPr>
        <w:pStyle w:val="Heading3"/>
      </w:pPr>
      <w:r>
        <w:rPr>
          <w:lang w:val="id_ID" w:bidi="id_ID"/>
        </w:rPr>
        <w:t>Latar Belakang</w:t>
      </w:r>
    </w:p>
    <w:p>
      <w:pPr/>
      <w:r>
        <w:rPr>
          <w:lang w:val="id_ID" w:bidi="id_ID"/>
        </w:rPr>
      </w:r>
      <w:r>
        <w:rPr>
          <w:lang w:val="id_ID" w:bidi="id_ID"/>
        </w:rPr>
        <w:t>Wilayah Yudea pasca-pembuangan dalam masa pemerintahan Persia; kitab ini dimulai dengan pemerintahan Salomo dan berakhir dengan pengumuman Koresh yang mengizinkan bangsa Israel kembali ke Yudea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