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ECC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Pengkhotbah</w:t>
      </w:r>
      <w:r>
        <w:rPr>
          <w:lang w:val="id_ID" w:bidi="id_ID"/>
        </w:rPr>
      </w:r>
    </w:p>
    <w:p>
      <w:pPr/>
      <w:r>
        <w:rPr>
          <w:lang w:val="id_ID" w:bidi="id_ID"/>
        </w:rPr>
      </w:r>
      <w:r>
        <w:rPr>
          <w:lang w:val="id_ID" w:bidi="id_ID"/>
        </w:rPr>
        <w:t>Kitab Pengkhotbah</w:t>
      </w:r>
    </w:p>
    <w:p>
      <w:pPr>
        <w:pStyle w:val="Heading3"/>
      </w:pPr>
      <w:r>
        <w:rPr>
          <w:lang w:val="id_ID" w:bidi="id_ID"/>
        </w:rPr>
        <w:t>Tujuan</w:t>
      </w:r>
    </w:p>
    <w:p>
      <w:pPr/>
      <w:r>
        <w:rPr>
          <w:lang w:val="id_ID" w:bidi="id_ID"/>
        </w:rPr>
      </w:r>
      <w:r>
        <w:rPr>
          <w:lang w:val="id_ID" w:bidi="id_ID"/>
        </w:rPr>
        <w:t>Merenungkan arti dan kenikmatan hidup</w:t>
      </w:r>
    </w:p>
    <w:p>
      <w:pPr>
        <w:pStyle w:val="Heading3"/>
      </w:pPr>
      <w:r>
        <w:rPr>
          <w:lang w:val="id_ID" w:bidi="id_ID"/>
        </w:rPr>
        <w:t>Penulis</w:t>
      </w:r>
    </w:p>
    <w:p>
      <w:pPr/>
      <w:r>
        <w:rPr>
          <w:lang w:val="id_ID" w:bidi="id_ID"/>
        </w:rPr>
      </w:r>
      <w:r>
        <w:rPr>
          <w:lang w:val="id_ID" w:bidi="id_ID"/>
        </w:rPr>
        <w:t>Salomo</w:t>
      </w:r>
    </w:p>
    <w:p>
      <w:pPr>
        <w:pStyle w:val="Heading3"/>
      </w:pPr>
      <w:r>
        <w:rPr>
          <w:lang w:val="id_ID" w:bidi="id_ID"/>
        </w:rPr>
        <w:t>Tahun penulisan</w:t>
      </w:r>
    </w:p>
    <w:p>
      <w:pPr/>
      <w:r>
        <w:rPr>
          <w:lang w:val="id_ID" w:bidi="id_ID"/>
        </w:rPr>
      </w:r>
      <w:r>
        <w:rPr>
          <w:lang w:val="id_ID" w:bidi="id_ID"/>
        </w:rPr>
        <w:t>Sekitar tahun 971–931 SM</w:t>
      </w:r>
    </w:p>
    <w:p>
      <w:pPr>
        <w:pStyle w:val="Heading3"/>
      </w:pPr>
      <w:r>
        <w:rPr>
          <w:lang w:val="id_ID" w:bidi="id_ID"/>
        </w:rPr>
        <w:t>Latar Belakang</w:t>
      </w:r>
    </w:p>
    <w:p>
      <w:pPr/>
      <w:r>
        <w:rPr>
          <w:lang w:val="id_ID" w:bidi="id_ID"/>
        </w:rPr>
      </w:r>
      <w:r>
        <w:rPr>
          <w:lang w:val="id_ID" w:bidi="id_ID"/>
        </w:rPr>
        <w:t>Pemerintahan Salomo yang sangat makmur—tetapi sepertinya tidak memuaskan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