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(Book Intro Summaries)</w:t>
      </w:r>
      <w:r>
        <w:rPr>
          <w:lang w:val="id_ID" w:bidi="id_ID"/>
        </w:rPr>
      </w:r>
    </w:p>
    <w:p>
      <w:pPr/>
      <w:r>
        <w:rPr>
          <w:lang w:val="id_ID" w:bidi="id_ID"/>
        </w:rPr>
      </w:r>
      <w:r>
        <w:rPr>
          <w:b/>
          <w:lang w:val="id_ID" w:bidi="id_ID"/>
        </w:rPr>
        <w:t>Aquifer Open Study Notes (Book Intro Summaries)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ZEC</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Zakharia</w:t>
      </w:r>
      <w:r>
        <w:rPr>
          <w:lang w:val="id_ID" w:bidi="id_ID"/>
        </w:rPr>
      </w:r>
    </w:p>
    <w:p>
      <w:pPr/>
      <w:r>
        <w:rPr>
          <w:lang w:val="id_ID" w:bidi="id_ID"/>
        </w:rPr>
      </w:r>
      <w:r>
        <w:rPr>
          <w:lang w:val="id_ID" w:bidi="id_ID"/>
        </w:rPr>
        <w:t>Kitab Zakharia</w:t>
      </w:r>
    </w:p>
    <w:p>
      <w:pPr>
        <w:pStyle w:val="Heading3"/>
      </w:pPr>
      <w:r>
        <w:rPr>
          <w:lang w:val="id_ID" w:bidi="id_ID"/>
        </w:rPr>
        <w:t>Tujuan</w:t>
      </w:r>
    </w:p>
    <w:p>
      <w:pPr/>
      <w:r>
        <w:rPr>
          <w:lang w:val="id_ID" w:bidi="id_ID"/>
        </w:rPr>
      </w:r>
      <w:r>
        <w:rPr>
          <w:lang w:val="id_ID" w:bidi="id_ID"/>
        </w:rPr>
        <w:t>Menumbuhkan pembaruan rohani dan mengumumkan masa depan yang agung bagi umat Allah</w:t>
      </w:r>
    </w:p>
    <w:p>
      <w:pPr>
        <w:pStyle w:val="Heading3"/>
      </w:pPr>
      <w:r>
        <w:rPr>
          <w:lang w:val="id_ID" w:bidi="id_ID"/>
        </w:rPr>
        <w:t>Penulis</w:t>
      </w:r>
    </w:p>
    <w:p>
      <w:pPr/>
      <w:r>
        <w:rPr>
          <w:lang w:val="id_ID" w:bidi="id_ID"/>
        </w:rPr>
      </w:r>
      <w:r>
        <w:rPr>
          <w:lang w:val="id_ID" w:bidi="id_ID"/>
        </w:rPr>
        <w:t>Zakharia</w:t>
      </w:r>
    </w:p>
    <w:p>
      <w:pPr>
        <w:pStyle w:val="Heading3"/>
      </w:pPr>
      <w:r>
        <w:rPr>
          <w:lang w:val="id_ID" w:bidi="id_ID"/>
        </w:rPr>
        <w:t>Tahun penulisan</w:t>
      </w:r>
    </w:p>
    <w:p>
      <w:pPr/>
      <w:r>
        <w:rPr>
          <w:lang w:val="id_ID" w:bidi="id_ID"/>
        </w:rPr>
      </w:r>
      <w:r>
        <w:rPr>
          <w:lang w:val="id_ID" w:bidi="id_ID"/>
        </w:rPr>
        <w:t>Kemungkinan antara tahun 520 dan 470 SM</w:t>
      </w:r>
    </w:p>
    <w:p>
      <w:pPr>
        <w:pStyle w:val="Heading3"/>
      </w:pPr>
      <w:r>
        <w:rPr>
          <w:lang w:val="id_ID" w:bidi="id_ID"/>
        </w:rPr>
        <w:t>Latar Belakang</w:t>
      </w:r>
    </w:p>
    <w:p>
      <w:pPr/>
      <w:r>
        <w:rPr>
          <w:lang w:val="id_ID" w:bidi="id_ID"/>
        </w:rPr>
      </w:r>
      <w:r>
        <w:rPr>
          <w:lang w:val="id_ID" w:bidi="id_ID"/>
        </w:rPr>
        <w:t>Yerusalem, beberapa puluh tahun setelah sekelompok sisa bangsa Yahudi kembali dari pembuangan</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