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Joshua</w:t>
      </w:r>
      <w:r>
        <w:rPr>
          <w:lang w:val="pt_PT" w:bidi="pt_PT"/>
        </w:rPr>
      </w:r>
    </w:p>
    <w:p>
      <w:pPr/>
      <w:r>
        <w:rPr>
          <w:lang w:val="pt_PT" w:bidi="pt_PT"/>
        </w:rPr>
      </w:r>
      <w:r>
        <w:rPr>
          <w:lang w:val="pt_PT" w:bidi="pt_PT"/>
        </w:rPr>
        <w:t>O livro de Josué</w:t>
      </w:r>
    </w:p>
    <w:p>
      <w:pPr>
        <w:pStyle w:val="Heading3"/>
      </w:pPr>
      <w:r>
        <w:rPr>
          <w:lang w:val="pt_PT" w:bidi="pt_PT"/>
        </w:rPr>
        <w:t>Propósito</w:t>
      </w:r>
    </w:p>
    <w:p>
      <w:pPr/>
      <w:r>
        <w:rPr>
          <w:lang w:val="pt_PT" w:bidi="pt_PT"/>
        </w:rPr>
      </w:r>
      <w:r>
        <w:rPr>
          <w:lang w:val="pt_PT" w:bidi="pt_PT"/>
        </w:rPr>
        <w:t>Para recontar a conquista de Israel da Terra Prometida</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provavelmente ocorreram em 1406–1376 a.C. ou 1230–1200 a.C.</w:t>
      </w:r>
    </w:p>
    <w:p>
      <w:pPr>
        <w:pStyle w:val="Heading3"/>
      </w:pPr>
      <w:r>
        <w:rPr>
          <w:lang w:val="pt_PT" w:bidi="pt_PT"/>
        </w:rPr>
        <w:t>Cenário</w:t>
      </w:r>
    </w:p>
    <w:p>
      <w:pPr/>
      <w:r>
        <w:rPr>
          <w:lang w:val="pt_PT" w:bidi="pt_PT"/>
        </w:rPr>
      </w:r>
      <w:r>
        <w:rPr>
          <w:lang w:val="pt_PT" w:bidi="pt_PT"/>
        </w:rPr>
        <w:t>Começa com os israelitas prestes a atravessar o Jordão e termina com sua nova terra tendo sido distribuída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