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Ruth</w:t>
      </w:r>
      <w:r>
        <w:rPr>
          <w:lang w:val="pt_PT" w:bidi="pt_PT"/>
        </w:rPr>
      </w:r>
    </w:p>
    <w:p>
      <w:pPr/>
      <w:r>
        <w:rPr>
          <w:lang w:val="pt_PT" w:bidi="pt_PT"/>
        </w:rPr>
      </w:r>
      <w:r>
        <w:rPr>
          <w:lang w:val="pt_PT" w:bidi="pt_PT"/>
        </w:rPr>
        <w:t>O livro de Rute</w:t>
      </w:r>
    </w:p>
    <w:p>
      <w:pPr>
        <w:pStyle w:val="Heading3"/>
      </w:pPr>
      <w:r>
        <w:rPr>
          <w:lang w:val="pt_PT" w:bidi="pt_PT"/>
        </w:rPr>
        <w:t>Propósito</w:t>
      </w:r>
    </w:p>
    <w:p>
      <w:pPr/>
      <w:r>
        <w:rPr>
          <w:lang w:val="pt_PT" w:bidi="pt_PT"/>
        </w:rPr>
      </w:r>
      <w:r>
        <w:rPr>
          <w:lang w:val="pt_PT" w:bidi="pt_PT"/>
        </w:rPr>
        <w:t>Contar a história inspiradora de Rute e traçar o pano de fundo do rei Davi</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por volta de 1100 a.C.</w:t>
      </w:r>
    </w:p>
    <w:p>
      <w:pPr>
        <w:pStyle w:val="Heading3"/>
      </w:pPr>
      <w:r>
        <w:rPr>
          <w:lang w:val="pt_PT" w:bidi="pt_PT"/>
        </w:rPr>
        <w:t>Cenário</w:t>
      </w:r>
    </w:p>
    <w:p>
      <w:pPr/>
      <w:r>
        <w:rPr>
          <w:lang w:val="pt_PT" w:bidi="pt_PT"/>
        </w:rPr>
      </w:r>
      <w:r>
        <w:rPr>
          <w:lang w:val="pt_PT" w:bidi="pt_PT"/>
        </w:rPr>
        <w:t>O período dos juízes, durante e imediatamente após uma fome que havia atingido Belém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