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Ezekiel</w:t>
      </w:r>
      <w:r>
        <w:rPr>
          <w:lang w:val="pt_PT" w:bidi="pt_PT"/>
        </w:rPr>
      </w:r>
    </w:p>
    <w:p>
      <w:pPr/>
      <w:r>
        <w:rPr>
          <w:lang w:val="pt_PT" w:bidi="pt_PT"/>
        </w:rPr>
      </w:r>
      <w:r>
        <w:rPr>
          <w:lang w:val="pt_PT" w:bidi="pt_PT"/>
        </w:rPr>
        <w:t>O livro de Ezequiel</w:t>
      </w:r>
    </w:p>
    <w:p>
      <w:pPr>
        <w:pStyle w:val="Heading3"/>
      </w:pPr>
      <w:r>
        <w:rPr>
          <w:lang w:val="pt_PT" w:bidi="pt_PT"/>
        </w:rPr>
        <w:t>Propósito</w:t>
      </w:r>
    </w:p>
    <w:p>
      <w:pPr/>
      <w:r>
        <w:rPr>
          <w:lang w:val="pt_PT" w:bidi="pt_PT"/>
        </w:rPr>
      </w:r>
      <w:r>
        <w:rPr>
          <w:lang w:val="pt_PT" w:bidi="pt_PT"/>
        </w:rPr>
        <w:t>Pronunciar o julgamento iminente sobre Judá e oferecer esperança após a destruição de Jerusalém</w:t>
      </w:r>
    </w:p>
    <w:p>
      <w:pPr>
        <w:pStyle w:val="Heading3"/>
      </w:pPr>
      <w:r>
        <w:rPr>
          <w:lang w:val="pt_PT" w:bidi="pt_PT"/>
        </w:rPr>
        <w:t>Autor</w:t>
      </w:r>
    </w:p>
    <w:p>
      <w:pPr/>
      <w:r>
        <w:rPr>
          <w:lang w:val="pt_PT" w:bidi="pt_PT"/>
        </w:rPr>
      </w:r>
      <w:r>
        <w:rPr>
          <w:lang w:val="pt_PT" w:bidi="pt_PT"/>
        </w:rPr>
        <w:t>Ezequiel</w:t>
      </w:r>
    </w:p>
    <w:p>
      <w:pPr>
        <w:pStyle w:val="Heading3"/>
      </w:pPr>
      <w:r>
        <w:rPr>
          <w:lang w:val="pt_PT" w:bidi="pt_PT"/>
        </w:rPr>
        <w:t>Data</w:t>
      </w:r>
    </w:p>
    <w:p>
      <w:pPr/>
      <w:r>
        <w:rPr>
          <w:lang w:val="pt_PT" w:bidi="pt_PT"/>
        </w:rPr>
      </w:r>
      <w:r>
        <w:rPr>
          <w:lang w:val="pt_PT" w:bidi="pt_PT"/>
        </w:rPr>
        <w:t>Por volta de 593–571 a.C.</w:t>
      </w:r>
    </w:p>
    <w:p>
      <w:pPr>
        <w:pStyle w:val="Heading3"/>
      </w:pPr>
      <w:r>
        <w:rPr>
          <w:lang w:val="pt_PT" w:bidi="pt_PT"/>
        </w:rPr>
        <w:t>Cenário</w:t>
      </w:r>
    </w:p>
    <w:p>
      <w:pPr/>
      <w:r>
        <w:rPr>
          <w:lang w:val="pt_PT" w:bidi="pt_PT"/>
        </w:rPr>
      </w:r>
      <w:r>
        <w:rPr>
          <w:lang w:val="pt_PT" w:bidi="pt_PT"/>
        </w:rPr>
        <w:t>Exílio na Babilônia, imediatamente antes, durante e após a destruição de Jerusalém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