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Micah</w:t>
      </w:r>
      <w:r>
        <w:rPr>
          <w:lang w:val="pt_PT" w:bidi="pt_PT"/>
        </w:rPr>
      </w:r>
    </w:p>
    <w:p>
      <w:pPr/>
      <w:r>
        <w:rPr>
          <w:lang w:val="pt_PT" w:bidi="pt_PT"/>
        </w:rPr>
      </w:r>
      <w:r>
        <w:rPr>
          <w:lang w:val="pt_PT" w:bidi="pt_PT"/>
        </w:rPr>
        <w:t>O livro de Miqueias</w:t>
      </w:r>
    </w:p>
    <w:p>
      <w:pPr>
        <w:pStyle w:val="Heading3"/>
      </w:pPr>
      <w:r>
        <w:rPr>
          <w:lang w:val="pt_PT" w:bidi="pt_PT"/>
        </w:rPr>
        <w:t>Propósito</w:t>
      </w:r>
    </w:p>
    <w:p>
      <w:pPr/>
      <w:r>
        <w:rPr>
          <w:lang w:val="pt_PT" w:bidi="pt_PT"/>
        </w:rPr>
      </w:r>
      <w:r>
        <w:rPr>
          <w:lang w:val="pt_PT" w:bidi="pt_PT"/>
        </w:rPr>
        <w:t>Proclamar o julgamento contra Samaria e Jerusalém, mas também oferecer uma forte mensagem de esperança para o futuro de Israel</w:t>
      </w:r>
    </w:p>
    <w:p>
      <w:pPr>
        <w:pStyle w:val="Heading3"/>
      </w:pPr>
      <w:r>
        <w:rPr>
          <w:lang w:val="pt_PT" w:bidi="pt_PT"/>
        </w:rPr>
        <w:t>Autor</w:t>
      </w:r>
    </w:p>
    <w:p>
      <w:pPr/>
      <w:r>
        <w:rPr>
          <w:lang w:val="pt_PT" w:bidi="pt_PT"/>
        </w:rPr>
      </w:r>
      <w:r>
        <w:rPr>
          <w:lang w:val="pt_PT" w:bidi="pt_PT"/>
        </w:rPr>
        <w:t>Miqueias</w:t>
      </w:r>
    </w:p>
    <w:p>
      <w:pPr>
        <w:pStyle w:val="Heading3"/>
      </w:pPr>
      <w:r>
        <w:rPr>
          <w:lang w:val="pt_PT" w:bidi="pt_PT"/>
        </w:rPr>
        <w:t>Data</w:t>
      </w:r>
    </w:p>
    <w:p>
      <w:pPr/>
      <w:r>
        <w:rPr>
          <w:lang w:val="pt_PT" w:bidi="pt_PT"/>
        </w:rPr>
      </w:r>
      <w:r>
        <w:rPr>
          <w:lang w:val="pt_PT" w:bidi="pt_PT"/>
        </w:rPr>
        <w:t>Por volta de 735–686 a.C.</w:t>
      </w:r>
    </w:p>
    <w:p>
      <w:pPr>
        <w:pStyle w:val="Heading3"/>
      </w:pPr>
      <w:r>
        <w:rPr>
          <w:lang w:val="pt_PT" w:bidi="pt_PT"/>
        </w:rPr>
        <w:t>Cenário</w:t>
      </w:r>
    </w:p>
    <w:p>
      <w:pPr/>
      <w:r>
        <w:rPr>
          <w:lang w:val="pt_PT" w:bidi="pt_PT"/>
        </w:rPr>
      </w:r>
      <w:r>
        <w:rPr>
          <w:lang w:val="pt_PT" w:bidi="pt_PT"/>
        </w:rPr>
        <w:t>O reino do norte de Israel pouco antes de sua destruição e o reino do sul de Judá durante os reinados de Jotão, Acaz e Ezequias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