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Nahum</w:t>
      </w:r>
      <w:r>
        <w:rPr>
          <w:lang w:val="pt_PT" w:bidi="pt_PT"/>
        </w:rPr>
      </w:r>
    </w:p>
    <w:p>
      <w:pPr/>
      <w:r>
        <w:rPr>
          <w:lang w:val="pt_PT" w:bidi="pt_PT"/>
        </w:rPr>
      </w:r>
      <w:r>
        <w:rPr>
          <w:lang w:val="pt_PT" w:bidi="pt_PT"/>
        </w:rPr>
        <w:t>O livro de Naum</w:t>
      </w:r>
    </w:p>
    <w:p>
      <w:pPr>
        <w:pStyle w:val="Heading3"/>
      </w:pPr>
      <w:r>
        <w:rPr>
          <w:lang w:val="pt_PT" w:bidi="pt_PT"/>
        </w:rPr>
        <w:t>Propósito</w:t>
      </w:r>
    </w:p>
    <w:p>
      <w:pPr/>
      <w:r>
        <w:rPr>
          <w:lang w:val="pt_PT" w:bidi="pt_PT"/>
        </w:rPr>
      </w:r>
      <w:r>
        <w:rPr>
          <w:lang w:val="pt_PT" w:bidi="pt_PT"/>
        </w:rPr>
        <w:t>Anunciar o julgamento de Deus sobre Nínive, a capital Assíria, oferecendo assim esperança ao povo de Judá</w:t>
      </w:r>
    </w:p>
    <w:p>
      <w:pPr>
        <w:pStyle w:val="Heading3"/>
      </w:pPr>
      <w:r>
        <w:rPr>
          <w:lang w:val="pt_PT" w:bidi="pt_PT"/>
        </w:rPr>
        <w:t>Autor</w:t>
      </w:r>
    </w:p>
    <w:p>
      <w:pPr/>
      <w:r>
        <w:rPr>
          <w:lang w:val="pt_PT" w:bidi="pt_PT"/>
        </w:rPr>
      </w:r>
      <w:r>
        <w:rPr>
          <w:lang w:val="pt_PT" w:bidi="pt_PT"/>
        </w:rPr>
        <w:t>Naum</w:t>
      </w:r>
    </w:p>
    <w:p>
      <w:pPr>
        <w:pStyle w:val="Heading3"/>
      </w:pPr>
      <w:r>
        <w:rPr>
          <w:lang w:val="pt_PT" w:bidi="pt_PT"/>
        </w:rPr>
        <w:t>Data</w:t>
      </w:r>
    </w:p>
    <w:p>
      <w:pPr/>
      <w:r>
        <w:rPr>
          <w:lang w:val="pt_PT" w:bidi="pt_PT"/>
        </w:rPr>
      </w:r>
      <w:r>
        <w:rPr>
          <w:lang w:val="pt_PT" w:bidi="pt_PT"/>
        </w:rPr>
        <w:t>Em algum momento entre 663 e 612 a.C.</w:t>
      </w:r>
    </w:p>
    <w:p>
      <w:pPr>
        <w:pStyle w:val="Heading3"/>
      </w:pPr>
      <w:r>
        <w:rPr>
          <w:lang w:val="pt_PT" w:bidi="pt_PT"/>
        </w:rPr>
        <w:t>Cenário</w:t>
      </w:r>
    </w:p>
    <w:p>
      <w:pPr/>
      <w:r>
        <w:rPr>
          <w:lang w:val="pt_PT" w:bidi="pt_PT"/>
        </w:rPr>
      </w:r>
      <w:r>
        <w:rPr>
          <w:lang w:val="pt_PT" w:bidi="pt_PT"/>
        </w:rPr>
        <w:t>O Império Assírio havia conquistado o reino do norte de Israel, e agora o reino do sul de Judá estava em perigo de enfrentar o mesmo destino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