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Habakkuk</w:t>
      </w:r>
      <w:r>
        <w:rPr>
          <w:lang w:val="pt_PT" w:bidi="pt_PT"/>
        </w:rPr>
      </w:r>
    </w:p>
    <w:p>
      <w:pPr/>
      <w:r>
        <w:rPr>
          <w:lang w:val="pt_PT" w:bidi="pt_PT"/>
        </w:rPr>
      </w:r>
      <w:r>
        <w:rPr>
          <w:lang w:val="pt_PT" w:bidi="pt_PT"/>
        </w:rPr>
        <w:t>O Livro de Habacuque</w:t>
      </w:r>
    </w:p>
    <w:p>
      <w:pPr>
        <w:pStyle w:val="Heading3"/>
      </w:pPr>
      <w:r>
        <w:rPr>
          <w:lang w:val="pt_PT" w:bidi="pt_PT"/>
        </w:rPr>
        <w:t>Propósito</w:t>
      </w:r>
    </w:p>
    <w:p>
      <w:pPr/>
      <w:r>
        <w:rPr>
          <w:lang w:val="pt_PT" w:bidi="pt_PT"/>
        </w:rPr>
      </w:r>
      <w:r>
        <w:rPr>
          <w:lang w:val="pt_PT" w:bidi="pt_PT"/>
        </w:rPr>
        <w:t>Para abordar algumas perguntas difíceis sobre os propósitos de Deus e a presença do mal no mundo</w:t>
      </w:r>
    </w:p>
    <w:p>
      <w:pPr>
        <w:pStyle w:val="Heading3"/>
      </w:pPr>
      <w:r>
        <w:rPr>
          <w:lang w:val="pt_PT" w:bidi="pt_PT"/>
        </w:rPr>
        <w:t>Autor</w:t>
      </w:r>
    </w:p>
    <w:p>
      <w:pPr/>
      <w:r>
        <w:rPr>
          <w:lang w:val="pt_PT" w:bidi="pt_PT"/>
        </w:rPr>
      </w:r>
      <w:r>
        <w:rPr>
          <w:lang w:val="pt_PT" w:bidi="pt_PT"/>
        </w:rPr>
        <w:t>Habacuque</w:t>
      </w:r>
    </w:p>
    <w:p>
      <w:pPr>
        <w:pStyle w:val="Heading3"/>
      </w:pPr>
      <w:r>
        <w:rPr>
          <w:lang w:val="pt_PT" w:bidi="pt_PT"/>
        </w:rPr>
        <w:t>Data</w:t>
      </w:r>
    </w:p>
    <w:p>
      <w:pPr/>
      <w:r>
        <w:rPr>
          <w:lang w:val="pt_PT" w:bidi="pt_PT"/>
        </w:rPr>
      </w:r>
      <w:r>
        <w:rPr>
          <w:lang w:val="pt_PT" w:bidi="pt_PT"/>
        </w:rPr>
        <w:t>Provavelmente entre 645 e 605 a.C.</w:t>
      </w:r>
    </w:p>
    <w:p>
      <w:pPr>
        <w:pStyle w:val="Heading3"/>
      </w:pPr>
      <w:r>
        <w:rPr>
          <w:lang w:val="pt_PT" w:bidi="pt_PT"/>
        </w:rPr>
        <w:t>Cenário</w:t>
      </w:r>
    </w:p>
    <w:p>
      <w:pPr/>
      <w:r>
        <w:rPr>
          <w:lang w:val="pt_PT" w:bidi="pt_PT"/>
        </w:rPr>
      </w:r>
      <w:r>
        <w:rPr>
          <w:lang w:val="pt_PT" w:bidi="pt_PT"/>
        </w:rPr>
        <w:t>Os últimos anos do reino independente de Judá, quando o poder Assírio estava enfraquecendo, mas o poder babilônico estava aumentando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