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DEU</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Второзаконие</w:t>
      </w:r>
      <w:r>
        <w:rPr>
          <w:lang w:val="ru_RU" w:bidi="ru_RU"/>
        </w:rPr>
      </w:r>
    </w:p>
    <w:p>
      <w:pPr/>
      <w:r>
        <w:rPr>
          <w:lang w:val="ru_RU" w:bidi="ru_RU"/>
        </w:rPr>
      </w:r>
      <w:r>
        <w:rPr>
          <w:lang w:val="ru_RU" w:bidi="ru_RU"/>
        </w:rPr>
        <w:t>Книга Второзакония</w:t>
      </w:r>
    </w:p>
    <w:p>
      <w:pPr>
        <w:pStyle w:val="Heading3"/>
      </w:pPr>
      <w:r>
        <w:rPr>
          <w:lang w:val="ru_RU" w:bidi="ru_RU"/>
        </w:rPr>
        <w:t>Цель</w:t>
      </w:r>
    </w:p>
    <w:p>
      <w:pPr/>
      <w:r>
        <w:rPr>
          <w:lang w:val="ru_RU" w:bidi="ru_RU"/>
        </w:rPr>
      </w:r>
      <w:r>
        <w:rPr>
          <w:lang w:val="ru_RU" w:bidi="ru_RU"/>
        </w:rPr>
        <w:t>Подтвердить и расширить завет до смерти Моисея и вступления народа в Землю обетованную.</w:t>
      </w:r>
    </w:p>
    <w:p>
      <w:pPr>
        <w:pStyle w:val="Heading3"/>
      </w:pPr>
      <w:r>
        <w:rPr>
          <w:lang w:val="ru_RU" w:bidi="ru_RU"/>
        </w:rPr>
        <w:t>Автор</w:t>
      </w:r>
    </w:p>
    <w:p>
      <w:pPr/>
      <w:r>
        <w:rPr>
          <w:lang w:val="ru_RU" w:bidi="ru_RU"/>
        </w:rPr>
      </w:r>
      <w:r>
        <w:rPr>
          <w:lang w:val="ru_RU" w:bidi="ru_RU"/>
        </w:rPr>
        <w:t>Моисей, согласно преданию</w:t>
      </w:r>
    </w:p>
    <w:p>
      <w:pPr>
        <w:pStyle w:val="Heading3"/>
      </w:pPr>
      <w:r>
        <w:rPr>
          <w:lang w:val="ru_RU" w:bidi="ru_RU"/>
        </w:rPr>
        <w:t>Дата</w:t>
      </w:r>
    </w:p>
    <w:p>
      <w:pPr/>
      <w:r>
        <w:rPr>
          <w:lang w:val="ru_RU" w:bidi="ru_RU"/>
        </w:rPr>
      </w:r>
      <w:r>
        <w:rPr>
          <w:lang w:val="ru_RU" w:bidi="ru_RU"/>
        </w:rPr>
        <w:t>Вероятно, или 1406 год до Р.Х., или 1230 год до Р.Х.</w:t>
      </w:r>
    </w:p>
    <w:p>
      <w:pPr>
        <w:pStyle w:val="Heading3"/>
      </w:pPr>
      <w:r>
        <w:rPr>
          <w:lang w:val="ru_RU" w:bidi="ru_RU"/>
        </w:rPr>
        <w:t>Контекст</w:t>
      </w:r>
    </w:p>
    <w:p>
      <w:pPr/>
      <w:r>
        <w:rPr>
          <w:lang w:val="ru_RU" w:bidi="ru_RU"/>
        </w:rPr>
      </w:r>
      <w:r>
        <w:rPr>
          <w:lang w:val="ru_RU" w:bidi="ru_RU"/>
        </w:rPr>
        <w:t>Израильтяне на пороге вступления в Землю обетованную, а Моисей приближается к концу своей жизни.</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