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 Summaries)</w:t>
      </w:r>
      <w:r>
        <w:rPr>
          <w:lang w:val="ru_RU" w:bidi="ru_RU"/>
        </w:rPr>
      </w:r>
    </w:p>
    <w:p>
      <w:pPr/>
      <w:r>
        <w:rPr>
          <w:lang w:val="ru_RU" w:bidi="ru_RU"/>
        </w:rPr>
      </w:r>
      <w:r>
        <w:rPr>
          <w:b/>
          <w:lang w:val="ru_RU" w:bidi="ru_RU"/>
        </w:rPr>
        <w:t>Aquifer Open Study Notes (Book Intro Summaries)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JOS</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Иисуса Навина</w:t>
      </w:r>
      <w:r>
        <w:rPr>
          <w:lang w:val="ru_RU" w:bidi="ru_RU"/>
        </w:rPr>
      </w:r>
    </w:p>
    <w:p>
      <w:pPr/>
      <w:r>
        <w:rPr>
          <w:lang w:val="ru_RU" w:bidi="ru_RU"/>
        </w:rPr>
      </w:r>
      <w:r>
        <w:rPr>
          <w:lang w:val="ru_RU" w:bidi="ru_RU"/>
        </w:rPr>
        <w:t>Книга Иисуса Навина</w:t>
      </w:r>
    </w:p>
    <w:p>
      <w:pPr>
        <w:pStyle w:val="Heading3"/>
      </w:pPr>
      <w:r>
        <w:rPr>
          <w:lang w:val="ru_RU" w:bidi="ru_RU"/>
        </w:rPr>
        <w:t>Цель</w:t>
      </w:r>
    </w:p>
    <w:p>
      <w:pPr/>
      <w:r>
        <w:rPr>
          <w:lang w:val="ru_RU" w:bidi="ru_RU"/>
        </w:rPr>
      </w:r>
      <w:r>
        <w:rPr>
          <w:lang w:val="ru_RU" w:bidi="ru_RU"/>
        </w:rPr>
        <w:t>Рассказать о завоевании Израилем Земли обетованной.</w:t>
      </w:r>
    </w:p>
    <w:p>
      <w:pPr>
        <w:pStyle w:val="Heading3"/>
      </w:pPr>
      <w:r>
        <w:rPr>
          <w:lang w:val="ru_RU" w:bidi="ru_RU"/>
        </w:rPr>
        <w:t>Автор</w:t>
      </w:r>
    </w:p>
    <w:p>
      <w:pPr/>
      <w:r>
        <w:rPr>
          <w:lang w:val="ru_RU" w:bidi="ru_RU"/>
        </w:rPr>
      </w:r>
      <w:r>
        <w:rPr>
          <w:lang w:val="ru_RU" w:bidi="ru_RU"/>
        </w:rPr>
        <w:t>Неизвестен</w:t>
      </w:r>
    </w:p>
    <w:p>
      <w:pPr>
        <w:pStyle w:val="Heading3"/>
      </w:pPr>
      <w:r>
        <w:rPr>
          <w:lang w:val="ru_RU" w:bidi="ru_RU"/>
        </w:rPr>
        <w:t>Дата</w:t>
      </w:r>
    </w:p>
    <w:p>
      <w:pPr/>
      <w:r>
        <w:rPr>
          <w:lang w:val="ru_RU" w:bidi="ru_RU"/>
        </w:rPr>
      </w:r>
      <w:r>
        <w:rPr>
          <w:lang w:val="ru_RU" w:bidi="ru_RU"/>
        </w:rPr>
        <w:t>Описанные события, вероятно, произошли или в 1406–1376 гг. до Р.Х., или в 1230–1200 гг. до Р.Х.</w:t>
      </w:r>
    </w:p>
    <w:p>
      <w:pPr>
        <w:pStyle w:val="Heading3"/>
      </w:pPr>
      <w:r>
        <w:rPr>
          <w:lang w:val="ru_RU" w:bidi="ru_RU"/>
        </w:rPr>
        <w:t>Контекст</w:t>
      </w:r>
    </w:p>
    <w:p>
      <w:pPr/>
      <w:r>
        <w:rPr>
          <w:lang w:val="ru_RU" w:bidi="ru_RU"/>
        </w:rPr>
      </w:r>
      <w:r>
        <w:rPr>
          <w:lang w:val="ru_RU" w:bidi="ru_RU"/>
        </w:rPr>
        <w:t>Начинается с подготовки израильтян к переходу через Иордан, а заканчивается распределением их новой земли.</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