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ru_RU" w:bidi="ru_RU"/>
        </w:rPr>
      </w:r>
    </w:p>
    <w:p>
      <w:pPr>
        <w:pStyle w:val="Heading2"/>
      </w:pPr>
      <w:r>
        <w:rPr>
          <w:lang w:val="ru_RU" w:bidi="ru_RU"/>
        </w:rPr>
        <w:t>Resource: Aquifer Open Study Notes (Book Intro Summaries)</w:t>
      </w:r>
      <w:r>
        <w:rPr>
          <w:lang w:val="ru_RU" w:bidi="ru_RU"/>
        </w:rPr>
      </w:r>
    </w:p>
    <w:p>
      <w:pPr/>
      <w:r>
        <w:rPr>
          <w:lang w:val="ru_RU" w:bidi="ru_RU"/>
        </w:rPr>
      </w:r>
      <w:r>
        <w:rPr>
          <w:b/>
          <w:lang w:val="ru_RU" w:bidi="ru_RU"/>
        </w:rPr>
        <w:t>Aquifer Open Study Notes (Book Intro Summaries)</w:t>
      </w:r>
    </w:p>
    <w:p>
      <w:pPr/>
      <w:r>
        <w:rPr>
          <w:lang w:val="ru_RU" w:bidi="ru_RU"/>
        </w:rPr>
      </w:r>
      <w:r>
        <w:rPr>
          <w:lang w:val="ru_RU" w:bidi="ru_RU"/>
        </w:rPr>
        <w:t xml:space="preserve">This work is an adaptation of </w:t>
      </w:r>
      <w:r>
        <w:rPr>
          <w:lang w:val="ru_RU" w:bidi="ru_RU"/>
        </w:rPr>
        <w:t>Tyndale Open Study Notes</w:t>
      </w:r>
      <w:r>
        <w:rPr>
          <w:lang w:val="ru_RU" w:bidi="ru_RU"/>
        </w:rPr>
        <w:t xml:space="preserve"> © 2023 Tyndale House Publishers, licensed under the CC BY-SA 4.0 license. The adaptation, </w:t>
      </w:r>
      <w:r>
        <w:rPr>
          <w:lang w:val="ru_RU" w:bidi="ru_RU"/>
        </w:rPr>
        <w:t>Aquifer Open Study Notes</w:t>
      </w:r>
      <w:r>
        <w:rPr>
          <w:lang w:val="ru_RU" w:bidi="ru_RU"/>
        </w:rPr>
        <w:t>, was created by Mission Mutual and is also licensed under CC BY-SA 4.0.</w:t>
      </w:r>
    </w:p>
    <w:p>
      <w:pPr/>
      <w:r>
        <w:rPr>
          <w:lang w:val="ru_RU" w:bidi="ru_RU"/>
        </w:rPr>
      </w:r>
      <w:r>
        <w:rPr>
          <w:lang w:val="ru_RU" w:bidi="ru_RU"/>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ru_RU" w:bidi="ru_RU"/>
        </w:rPr>
      </w:r>
      <w:r>
        <w:rPr>
          <w:lang w:val="ru_RU" w:bidi="ru_RU"/>
        </w:rPr>
      </w:r>
    </w:p>
    <w:p>
      <w:pPr>
        <w:pStyle w:val="Heading1"/>
      </w:pPr>
      <w:r>
        <w:rPr>
          <w:lang w:val="ru_RU" w:bidi="ru_RU"/>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JDG</w:t>
      </w:r>
      <w:r>
        <w:rPr>
          <w:lang w:val="ru_RU" w:bidi="ru_RU"/>
        </w:rPr>
      </w:r>
    </w:p>
    <w:p>
      <w:pPr/>
      <w:r>
        <w:rPr>
          <w:lang w:val="ru_RU" w:bidi="ru_RU"/>
        </w:rPr>
      </w:r>
      <w:r>
        <w:rPr>
          <w:lang w:val="ru_RU" w:bidi="ru_RU"/>
        </w:rPr>
        <w:t xml:space="preserve"> </w:t>
      </w:r>
      <w:r>
        <w:rPr>
          <w:lang w:val="ru_RU" w:bidi="ru_RU"/>
        </w:rPr>
      </w:r>
      <w:r>
        <w:rPr>
          <w:lang w:val="ru_RU" w:bidi="ru_RU"/>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ru_RU" w:bidi="ru_RU"/>
        </w:rPr>
      </w:r>
    </w:p>
    <w:p>
      <w:pPr>
        <w:pStyle w:val="Heading2"/>
      </w:pPr>
      <w:r>
        <w:rPr>
          <w:lang w:val="ru_RU" w:bidi="ru_RU"/>
        </w:rPr>
        <w:t>Судей</w:t>
      </w:r>
      <w:r>
        <w:rPr>
          <w:lang w:val="ru_RU" w:bidi="ru_RU"/>
        </w:rPr>
      </w:r>
    </w:p>
    <w:p>
      <w:pPr/>
      <w:r>
        <w:rPr>
          <w:lang w:val="ru_RU" w:bidi="ru_RU"/>
        </w:rPr>
      </w:r>
      <w:r>
        <w:rPr>
          <w:lang w:val="ru_RU" w:bidi="ru_RU"/>
        </w:rPr>
        <w:t>Книга Судей</w:t>
      </w:r>
    </w:p>
    <w:p>
      <w:pPr>
        <w:pStyle w:val="Heading3"/>
      </w:pPr>
      <w:r>
        <w:rPr>
          <w:lang w:val="ru_RU" w:bidi="ru_RU"/>
        </w:rPr>
        <w:t>Цель</w:t>
      </w:r>
    </w:p>
    <w:p>
      <w:pPr/>
      <w:r>
        <w:rPr>
          <w:lang w:val="ru_RU" w:bidi="ru_RU"/>
        </w:rPr>
      </w:r>
      <w:r>
        <w:rPr>
          <w:lang w:val="ru_RU" w:bidi="ru_RU"/>
        </w:rPr>
        <w:t>Описать период правления судей и привести доводы в пользу израильской монархии.</w:t>
      </w:r>
    </w:p>
    <w:p>
      <w:pPr>
        <w:pStyle w:val="Heading3"/>
      </w:pPr>
      <w:r>
        <w:rPr>
          <w:lang w:val="ru_RU" w:bidi="ru_RU"/>
        </w:rPr>
        <w:t>Автор</w:t>
      </w:r>
    </w:p>
    <w:p>
      <w:pPr/>
      <w:r>
        <w:rPr>
          <w:lang w:val="ru_RU" w:bidi="ru_RU"/>
        </w:rPr>
      </w:r>
      <w:r>
        <w:rPr>
          <w:lang w:val="ru_RU" w:bidi="ru_RU"/>
        </w:rPr>
        <w:t>Неизвестен</w:t>
      </w:r>
    </w:p>
    <w:p>
      <w:pPr>
        <w:pStyle w:val="Heading3"/>
      </w:pPr>
      <w:r>
        <w:rPr>
          <w:lang w:val="ru_RU" w:bidi="ru_RU"/>
        </w:rPr>
        <w:t>Дата</w:t>
      </w:r>
    </w:p>
    <w:p>
      <w:pPr/>
      <w:r>
        <w:rPr>
          <w:lang w:val="ru_RU" w:bidi="ru_RU"/>
        </w:rPr>
      </w:r>
      <w:r>
        <w:rPr>
          <w:lang w:val="ru_RU" w:bidi="ru_RU"/>
        </w:rPr>
        <w:t>Описанные события произошли или в 1376–1050 гг. до Р.Х., или в 1200–1050 гг. до Р.Х.</w:t>
      </w:r>
    </w:p>
    <w:p>
      <w:pPr>
        <w:pStyle w:val="Heading3"/>
      </w:pPr>
      <w:r>
        <w:rPr>
          <w:lang w:val="ru_RU" w:bidi="ru_RU"/>
        </w:rPr>
        <w:t>Контекст</w:t>
      </w:r>
    </w:p>
    <w:p>
      <w:pPr/>
      <w:r>
        <w:rPr>
          <w:lang w:val="ru_RU" w:bidi="ru_RU"/>
        </w:rPr>
      </w:r>
      <w:r>
        <w:rPr>
          <w:lang w:val="ru_RU" w:bidi="ru_RU"/>
        </w:rPr>
        <w:t>Израилю не удавалось полностью завоевать Землю обетованную, и он неоднократно сталкивался с угнетением со стороны врагов.</w:t>
      </w:r>
      <w:r>
        <w:rPr>
          <w:lang w:val="ru_RU" w:bidi="ru_RU"/>
        </w:rPr>
      </w:r>
      <w:r>
        <w:rPr>
          <w:lang w:val="ru_RU" w:bidi="ru_RU"/>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ru_R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