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1SA</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 Царств</w:t>
      </w:r>
      <w:r>
        <w:rPr>
          <w:lang w:val="ru_RU" w:bidi="ru_RU"/>
        </w:rPr>
      </w:r>
    </w:p>
    <w:p>
      <w:pPr/>
      <w:r>
        <w:rPr>
          <w:lang w:val="ru_RU" w:bidi="ru_RU"/>
        </w:rPr>
      </w:r>
      <w:r>
        <w:rPr>
          <w:lang w:val="ru_RU" w:bidi="ru_RU"/>
        </w:rPr>
        <w:t>Первая книга Царств</w:t>
      </w:r>
    </w:p>
    <w:p>
      <w:pPr>
        <w:pStyle w:val="Heading3"/>
      </w:pPr>
      <w:r>
        <w:rPr>
          <w:lang w:val="ru_RU" w:bidi="ru_RU"/>
        </w:rPr>
        <w:t>Цель</w:t>
      </w:r>
    </w:p>
    <w:p>
      <w:pPr/>
      <w:r>
        <w:rPr>
          <w:lang w:val="ru_RU" w:bidi="ru_RU"/>
        </w:rPr>
      </w:r>
      <w:r>
        <w:rPr>
          <w:lang w:val="ru_RU" w:bidi="ru_RU"/>
        </w:rPr>
        <w:t>Рассказать о становлении израильской монархии и подчеркнуть различия в характере двух первых царей Израиля.</w:t>
      </w:r>
    </w:p>
    <w:p>
      <w:pPr>
        <w:pStyle w:val="Heading3"/>
      </w:pPr>
      <w:r>
        <w:rPr>
          <w:lang w:val="ru_RU" w:bidi="ru_RU"/>
        </w:rPr>
        <w:t>Автор</w:t>
      </w:r>
    </w:p>
    <w:p>
      <w:pPr/>
      <w:r>
        <w:rPr>
          <w:lang w:val="ru_RU" w:bidi="ru_RU"/>
        </w:rPr>
      </w:r>
      <w:r>
        <w:rPr>
          <w:lang w:val="ru_RU" w:bidi="ru_RU"/>
        </w:rPr>
        <w:t>Неизвестен</w:t>
      </w:r>
    </w:p>
    <w:p>
      <w:pPr>
        <w:pStyle w:val="Heading3"/>
      </w:pPr>
      <w:r>
        <w:rPr>
          <w:lang w:val="ru_RU" w:bidi="ru_RU"/>
        </w:rPr>
        <w:t>Дата</w:t>
      </w:r>
    </w:p>
    <w:p>
      <w:pPr/>
      <w:r>
        <w:rPr>
          <w:lang w:val="ru_RU" w:bidi="ru_RU"/>
        </w:rPr>
      </w:r>
      <w:r>
        <w:rPr>
          <w:lang w:val="ru_RU" w:bidi="ru_RU"/>
        </w:rPr>
        <w:t>Описанные события произошли приблизительно в 1050–1011 гг. до Р.Х.</w:t>
      </w:r>
    </w:p>
    <w:p>
      <w:pPr>
        <w:pStyle w:val="Heading3"/>
      </w:pPr>
      <w:r>
        <w:rPr>
          <w:lang w:val="ru_RU" w:bidi="ru_RU"/>
        </w:rPr>
        <w:t>Контекст</w:t>
      </w:r>
    </w:p>
    <w:p>
      <w:pPr/>
      <w:r>
        <w:rPr>
          <w:lang w:val="ru_RU" w:bidi="ru_RU"/>
        </w:rPr>
      </w:r>
      <w:r>
        <w:rPr>
          <w:lang w:val="ru_RU" w:bidi="ru_RU"/>
        </w:rPr>
        <w:t>Переход от периода судей к израильской монархии.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