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Aquifer Open Study Notes (Book Intro Summaries)</w:t>
      </w:r>
      <w:r>
        <w:rPr>
          <w:lang w:val="ru_RU" w:bidi="ru_RU"/>
        </w:rPr>
      </w:r>
    </w:p>
    <w:p>
      <w:pPr/>
      <w:r>
        <w:rPr>
          <w:lang w:val="ru_RU" w:bidi="ru_RU"/>
        </w:rPr>
      </w:r>
      <w:r>
        <w:rPr>
          <w:b/>
          <w:lang w:val="ru_RU" w:bidi="ru_RU"/>
        </w:rPr>
        <w:t>Aquifer Open Study Notes (Book Intro Summaries)</w:t>
      </w:r>
    </w:p>
    <w:p>
      <w:pPr/>
      <w:r>
        <w:rPr>
          <w:lang w:val="ru_RU" w:bidi="ru_RU"/>
        </w:rPr>
      </w:r>
      <w:r>
        <w:rPr>
          <w:lang w:val="ru_RU" w:bidi="ru_RU"/>
        </w:rPr>
        <w:t xml:space="preserve">This work is an adaptation of </w:t>
      </w:r>
      <w:r>
        <w:rPr>
          <w:lang w:val="ru_RU" w:bidi="ru_RU"/>
        </w:rPr>
        <w:t>Tyndale Open Study Notes</w:t>
      </w:r>
      <w:r>
        <w:rPr>
          <w:lang w:val="ru_RU" w:bidi="ru_RU"/>
        </w:rPr>
        <w:t xml:space="preserve"> © 2023 Tyndale House Publishers, licensed under the CC BY-SA 4.0 license. The adaptation, </w:t>
      </w:r>
      <w:r>
        <w:rPr>
          <w:lang w:val="ru_RU" w:bidi="ru_RU"/>
        </w:rPr>
        <w:t>Aquifer Open Study Notes</w:t>
      </w:r>
      <w:r>
        <w:rPr>
          <w:lang w:val="ru_RU" w:bidi="ru_RU"/>
        </w:rPr>
        <w:t>, was created by Mission Mutual and is also licensed under CC BY-SA 4.0.</w:t>
      </w:r>
    </w:p>
    <w:p>
      <w:pPr/>
      <w:r>
        <w:rPr>
          <w:lang w:val="ru_RU" w:bidi="ru_RU"/>
        </w:rPr>
      </w:r>
      <w:r>
        <w:rPr>
          <w:lang w:val="ru_RU" w:bidi="ru_RU"/>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ru_RU" w:bidi="ru_RU"/>
        </w:rPr>
      </w:r>
      <w:r>
        <w:rPr>
          <w:lang w:val="ru_RU" w:bidi="ru_RU"/>
        </w:rPr>
      </w:r>
    </w:p>
    <w:p>
      <w:pPr>
        <w:pStyle w:val="Heading1"/>
      </w:pPr>
      <w:r>
        <w:rPr>
          <w:lang w:val="ru_RU" w:bidi="ru_RU"/>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EST</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Есфирь</w:t>
      </w:r>
      <w:r>
        <w:rPr>
          <w:lang w:val="ru_RU" w:bidi="ru_RU"/>
        </w:rPr>
      </w:r>
    </w:p>
    <w:p>
      <w:pPr/>
      <w:r>
        <w:rPr>
          <w:lang w:val="ru_RU" w:bidi="ru_RU"/>
        </w:rPr>
      </w:r>
      <w:r>
        <w:rPr>
          <w:lang w:val="ru_RU" w:bidi="ru_RU"/>
        </w:rPr>
        <w:t>Книга Есфирь</w:t>
      </w:r>
    </w:p>
    <w:p>
      <w:pPr>
        <w:pStyle w:val="Heading3"/>
      </w:pPr>
      <w:r>
        <w:rPr>
          <w:lang w:val="ru_RU" w:bidi="ru_RU"/>
        </w:rPr>
        <w:t>Цель</w:t>
      </w:r>
    </w:p>
    <w:p>
      <w:pPr/>
      <w:r>
        <w:rPr>
          <w:lang w:val="ru_RU" w:bidi="ru_RU"/>
        </w:rPr>
      </w:r>
      <w:r>
        <w:rPr>
          <w:lang w:val="ru_RU" w:bidi="ru_RU"/>
        </w:rPr>
        <w:t>Показать заботу Бога о Своем народе и проследить происхождение праздника Пурим.</w:t>
      </w:r>
    </w:p>
    <w:p>
      <w:pPr>
        <w:pStyle w:val="Heading3"/>
      </w:pPr>
      <w:r>
        <w:rPr>
          <w:lang w:val="ru_RU" w:bidi="ru_RU"/>
        </w:rPr>
        <w:t>Автор</w:t>
      </w:r>
    </w:p>
    <w:p>
      <w:pPr/>
      <w:r>
        <w:rPr>
          <w:lang w:val="ru_RU" w:bidi="ru_RU"/>
        </w:rPr>
      </w:r>
      <w:r>
        <w:rPr>
          <w:lang w:val="ru_RU" w:bidi="ru_RU"/>
        </w:rPr>
        <w:t>Неизвестен</w:t>
      </w:r>
    </w:p>
    <w:p>
      <w:pPr>
        <w:pStyle w:val="Heading3"/>
      </w:pPr>
      <w:r>
        <w:rPr>
          <w:lang w:val="ru_RU" w:bidi="ru_RU"/>
        </w:rPr>
        <w:t>Дата</w:t>
      </w:r>
    </w:p>
    <w:p>
      <w:pPr/>
      <w:r>
        <w:rPr>
          <w:lang w:val="ru_RU" w:bidi="ru_RU"/>
        </w:rPr>
      </w:r>
      <w:r>
        <w:rPr>
          <w:lang w:val="ru_RU" w:bidi="ru_RU"/>
        </w:rPr>
        <w:t>Описанные события произошли приблизительно в 483–471 гг. до Р.Х.</w:t>
      </w:r>
    </w:p>
    <w:p>
      <w:pPr>
        <w:pStyle w:val="Heading3"/>
      </w:pPr>
      <w:r>
        <w:rPr>
          <w:lang w:val="ru_RU" w:bidi="ru_RU"/>
        </w:rPr>
        <w:t>Контекст</w:t>
      </w:r>
    </w:p>
    <w:p>
      <w:pPr/>
      <w:r>
        <w:rPr>
          <w:lang w:val="ru_RU" w:bidi="ru_RU"/>
        </w:rPr>
      </w:r>
      <w:r>
        <w:rPr>
          <w:lang w:val="ru_RU" w:bidi="ru_RU"/>
        </w:rPr>
        <w:t>Персидская столица Сузы во время правления Ксеркса, после того как часть евреев вернулась в Иудею.</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