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ISA</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Исаии</w:t>
      </w:r>
      <w:r>
        <w:rPr>
          <w:lang w:val="ru_RU" w:bidi="ru_RU"/>
        </w:rPr>
      </w:r>
    </w:p>
    <w:p>
      <w:pPr/>
      <w:r>
        <w:rPr>
          <w:lang w:val="ru_RU" w:bidi="ru_RU"/>
        </w:rPr>
      </w:r>
      <w:r>
        <w:rPr>
          <w:lang w:val="ru_RU" w:bidi="ru_RU"/>
        </w:rPr>
        <w:t>Книга пророка Исаии</w:t>
      </w:r>
    </w:p>
    <w:p>
      <w:pPr>
        <w:pStyle w:val="Heading3"/>
      </w:pPr>
      <w:r>
        <w:rPr>
          <w:lang w:val="ru_RU" w:bidi="ru_RU"/>
        </w:rPr>
        <w:t>Цель</w:t>
      </w:r>
    </w:p>
    <w:p>
      <w:pPr/>
      <w:r>
        <w:rPr>
          <w:lang w:val="ru_RU" w:bidi="ru_RU"/>
        </w:rPr>
      </w:r>
      <w:r>
        <w:rPr>
          <w:lang w:val="ru_RU" w:bidi="ru_RU"/>
        </w:rPr>
        <w:t>Предупредить Иуду о надвигающемся суде и дать надежду остатку Божьего народа.</w:t>
      </w:r>
    </w:p>
    <w:p>
      <w:pPr>
        <w:pStyle w:val="Heading3"/>
      </w:pPr>
      <w:r>
        <w:rPr>
          <w:lang w:val="ru_RU" w:bidi="ru_RU"/>
        </w:rPr>
        <w:t>Автор</w:t>
      </w:r>
    </w:p>
    <w:p>
      <w:pPr/>
      <w:r>
        <w:rPr>
          <w:lang w:val="ru_RU" w:bidi="ru_RU"/>
        </w:rPr>
      </w:r>
      <w:r>
        <w:rPr>
          <w:lang w:val="ru_RU" w:bidi="ru_RU"/>
        </w:rPr>
        <w:t>Исаия</w:t>
      </w:r>
    </w:p>
    <w:p>
      <w:pPr>
        <w:pStyle w:val="Heading3"/>
      </w:pPr>
      <w:r>
        <w:rPr>
          <w:lang w:val="ru_RU" w:bidi="ru_RU"/>
        </w:rPr>
        <w:t>Дата</w:t>
      </w:r>
    </w:p>
    <w:p>
      <w:pPr/>
      <w:r>
        <w:rPr>
          <w:lang w:val="ru_RU" w:bidi="ru_RU"/>
        </w:rPr>
      </w:r>
      <w:r>
        <w:rPr>
          <w:lang w:val="ru_RU" w:bidi="ru_RU"/>
        </w:rPr>
        <w:t>Приблизительно 740–685 гг. до Р.Х.</w:t>
      </w:r>
    </w:p>
    <w:p>
      <w:pPr>
        <w:pStyle w:val="Heading3"/>
      </w:pPr>
      <w:r>
        <w:rPr>
          <w:lang w:val="ru_RU" w:bidi="ru_RU"/>
        </w:rPr>
        <w:t>Контекст</w:t>
      </w:r>
    </w:p>
    <w:p>
      <w:pPr/>
      <w:r>
        <w:rPr>
          <w:lang w:val="ru_RU" w:bidi="ru_RU"/>
        </w:rPr>
      </w:r>
      <w:r>
        <w:rPr>
          <w:lang w:val="ru_RU" w:bidi="ru_RU"/>
        </w:rPr>
        <w:t>Южное Иудейское царство, примерно во время завоевания Ассирией Северного Израильского царства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