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HOS</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Осии</w:t>
      </w:r>
      <w:r>
        <w:rPr>
          <w:lang w:val="ru_RU" w:bidi="ru_RU"/>
        </w:rPr>
      </w:r>
    </w:p>
    <w:p>
      <w:pPr/>
      <w:r>
        <w:rPr>
          <w:lang w:val="ru_RU" w:bidi="ru_RU"/>
        </w:rPr>
      </w:r>
      <w:r>
        <w:rPr>
          <w:lang w:val="ru_RU" w:bidi="ru_RU"/>
        </w:rPr>
        <w:t>Книга пророка Осии</w:t>
      </w:r>
    </w:p>
    <w:p>
      <w:pPr>
        <w:pStyle w:val="Heading3"/>
      </w:pPr>
      <w:r>
        <w:rPr>
          <w:lang w:val="ru_RU" w:bidi="ru_RU"/>
        </w:rPr>
        <w:t>Цель</w:t>
      </w:r>
    </w:p>
    <w:p>
      <w:pPr/>
      <w:r>
        <w:rPr>
          <w:lang w:val="ru_RU" w:bidi="ru_RU"/>
        </w:rPr>
      </w:r>
      <w:r>
        <w:rPr>
          <w:lang w:val="ru_RU" w:bidi="ru_RU"/>
        </w:rPr>
        <w:t>Показать неверность Израиля и последовавшее за этим осуждение, а также показать Божье желание исцелить и восстановить Свой народ.</w:t>
      </w:r>
    </w:p>
    <w:p>
      <w:pPr>
        <w:pStyle w:val="Heading3"/>
      </w:pPr>
      <w:r>
        <w:rPr>
          <w:lang w:val="ru_RU" w:bidi="ru_RU"/>
        </w:rPr>
        <w:t>Автор</w:t>
      </w:r>
    </w:p>
    <w:p>
      <w:pPr/>
      <w:r>
        <w:rPr>
          <w:lang w:val="ru_RU" w:bidi="ru_RU"/>
        </w:rPr>
      </w:r>
      <w:r>
        <w:rPr>
          <w:lang w:val="ru_RU" w:bidi="ru_RU"/>
        </w:rPr>
        <w:t>Осия</w:t>
      </w:r>
    </w:p>
    <w:p>
      <w:pPr>
        <w:pStyle w:val="Heading3"/>
      </w:pPr>
      <w:r>
        <w:rPr>
          <w:lang w:val="ru_RU" w:bidi="ru_RU"/>
        </w:rPr>
        <w:t>Дата</w:t>
      </w:r>
    </w:p>
    <w:p>
      <w:pPr/>
      <w:r>
        <w:rPr>
          <w:lang w:val="ru_RU" w:bidi="ru_RU"/>
        </w:rPr>
      </w:r>
      <w:r>
        <w:rPr>
          <w:lang w:val="ru_RU" w:bidi="ru_RU"/>
        </w:rPr>
        <w:t>Приблизительно 760–722 гг. до Р.Х.</w:t>
      </w:r>
    </w:p>
    <w:p>
      <w:pPr>
        <w:pStyle w:val="Heading3"/>
      </w:pPr>
      <w:r>
        <w:rPr>
          <w:lang w:val="ru_RU" w:bidi="ru_RU"/>
        </w:rPr>
        <w:t>Контекст</w:t>
      </w:r>
    </w:p>
    <w:p>
      <w:pPr/>
      <w:r>
        <w:rPr>
          <w:lang w:val="ru_RU" w:bidi="ru_RU"/>
        </w:rPr>
      </w:r>
      <w:r>
        <w:rPr>
          <w:lang w:val="ru_RU" w:bidi="ru_RU"/>
        </w:rPr>
        <w:t>Северное Израильское царство во дни, предшествовавшие его падению от рук Ассирии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