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Samuel</w:t>
      </w:r>
      <w:r>
        <w:rPr>
          <w:lang w:val="es_ES" w:bidi="es_ES"/>
        </w:rPr>
      </w:r>
    </w:p>
    <w:p>
      <w:pPr/>
      <w:r>
        <w:rPr>
          <w:lang w:val="es_ES" w:bidi="es_ES"/>
        </w:rPr>
      </w:r>
      <w:r>
        <w:rPr>
          <w:lang w:val="es_ES" w:bidi="es_ES"/>
        </w:rPr>
        <w:t>El Primer Libro de Samuel</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Relatar el establecimiento de la monarquía israelita (cuando Israel era gobernado por reyes)</w:t>
      </w:r>
    </w:p>
    <w:p>
      <w:pPr>
        <w:pStyle w:val="ListNumber"/>
        <w:spacing w:line="240" w:lineRule="auto"/>
        <w:ind w:left="720"/>
      </w:pPr>
      <w:r>
        <w:rPr>
          <w:lang w:val="es_ES" w:bidi="es_ES"/>
        </w:rPr>
      </w:r>
      <w:r>
        <w:rPr>
          <w:lang w:val="es_ES" w:bidi="es_ES"/>
        </w:rPr>
        <w:t>Resaltar el carácter diferente de los dos primeros reyes de Israel</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alrededor de 1050–1011 a.C.</w:t>
      </w:r>
    </w:p>
    <w:p>
      <w:pPr>
        <w:pStyle w:val="Heading3"/>
      </w:pPr>
      <w:r>
        <w:rPr>
          <w:lang w:val="es_ES" w:bidi="es_ES"/>
        </w:rPr>
        <w:t>Contexto</w:t>
      </w:r>
    </w:p>
    <w:p>
      <w:pPr/>
      <w:r>
        <w:rPr>
          <w:lang w:val="es_ES" w:bidi="es_ES"/>
        </w:rPr>
      </w:r>
      <w:r>
        <w:rPr>
          <w:lang w:val="es_ES" w:bidi="es_ES"/>
        </w:rPr>
        <w:t>La transición del período de los jueces a la monarquía israelita cuando Israel fue gobernado por reyes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