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w:t>
      </w:r>
      <w:r>
        <w:rPr>
          <w:lang w:val="sw_KE" w:bidi="sw_KE"/>
        </w:rPr>
      </w:r>
    </w:p>
    <w:p>
      <w:pPr/>
      <w:r>
        <w:rPr>
          <w:lang w:val="sw_KE" w:bidi="sw_KE"/>
        </w:rPr>
      </w:r>
      <w:r>
        <w:rPr>
          <w:lang w:val="sw_KE" w:bidi="sw_KE"/>
        </w:rPr>
        <w:t>Kitabu cha Zaburi</w:t>
      </w:r>
    </w:p>
    <w:p>
      <w:pPr>
        <w:pStyle w:val="Heading3"/>
      </w:pPr>
      <w:r>
        <w:rPr>
          <w:lang w:val="sw_KE" w:bidi="sw_KE"/>
        </w:rPr>
        <w:t>Kusudi</w:t>
      </w:r>
    </w:p>
    <w:p>
      <w:pPr/>
      <w:r>
        <w:rPr>
          <w:lang w:val="sw_KE" w:bidi="sw_KE"/>
        </w:rPr>
      </w:r>
      <w:r>
        <w:rPr>
          <w:lang w:val="sw_KE" w:bidi="sw_KE"/>
        </w:rPr>
        <w:t>Kutoa sifa na sala kwa Mungu, kuwapa watu wa Mungu maandiko kwa ajili ya ibada, na kutoa tafakari juu ya ukuu wa Mungu na baadhi ya maswali tatanishi zaidi ya maisha</w:t>
      </w:r>
    </w:p>
    <w:p>
      <w:pPr>
        <w:pStyle w:val="Heading3"/>
      </w:pPr>
      <w:r>
        <w:rPr>
          <w:lang w:val="sw_KE" w:bidi="sw_KE"/>
        </w:rPr>
        <w:t>Mwandishi</w:t>
      </w:r>
    </w:p>
    <w:p>
      <w:pPr/>
      <w:r>
        <w:rPr>
          <w:lang w:val="sw_KE" w:bidi="sw_KE"/>
        </w:rPr>
      </w:r>
      <w:r>
        <w:rPr>
          <w:lang w:val="sw_KE" w:bidi="sw_KE"/>
        </w:rPr>
        <w:t>Waandishi mbalimbali; karibu nusu ya Zaburi inahusishwa na Daudi</w:t>
      </w:r>
    </w:p>
    <w:p>
      <w:pPr>
        <w:pStyle w:val="Heading3"/>
      </w:pPr>
      <w:r>
        <w:rPr>
          <w:lang w:val="sw_KE" w:bidi="sw_KE"/>
        </w:rPr>
        <w:t>Tarehe</w:t>
      </w:r>
    </w:p>
    <w:p>
      <w:pPr/>
      <w:r>
        <w:rPr>
          <w:lang w:val="sw_KE" w:bidi="sw_KE"/>
        </w:rPr>
      </w:r>
      <w:r>
        <w:rPr>
          <w:lang w:val="sw_KE" w:bidi="sw_KE"/>
        </w:rPr>
        <w:t>Kiliandikwa katika kipindi cha karne nyingi; kuna uwezekano kwamba mchakato wa kukusanya na kuhariri maandiko hayo ulikamilishwa baada ya uhamisho huko Babeli</w:t>
      </w:r>
    </w:p>
    <w:p>
      <w:pPr>
        <w:pStyle w:val="Heading3"/>
      </w:pPr>
      <w:r>
        <w:rPr>
          <w:lang w:val="sw_KE" w:bidi="sw_KE"/>
        </w:rPr>
        <w:t>Muktadha</w:t>
      </w:r>
    </w:p>
    <w:p>
      <w:pPr/>
      <w:r>
        <w:rPr>
          <w:lang w:val="sw_KE" w:bidi="sw_KE"/>
        </w:rPr>
      </w:r>
      <w:r>
        <w:rPr>
          <w:lang w:val="sw_KE" w:bidi="sw_KE"/>
        </w:rPr>
        <w:t>Maeneo mbalimbali, lakini muktadha wa baada ya uhamisho unaonekana katika sehemu kubwa ya uhariri na upangaji wa zaburi katika vikundi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