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2CH</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歷代志下</w:t>
      </w:r>
      <w:r>
        <w:rPr>
          <w:lang w:val="zh_TW" w:bidi="zh_TW"/>
        </w:rPr>
      </w:r>
    </w:p>
    <w:p>
      <w:pPr/>
      <w:r>
        <w:rPr>
          <w:lang w:val="zh_TW" w:bidi="zh_TW"/>
        </w:rPr>
      </w:r>
      <w:r>
        <w:rPr>
          <w:lang w:val="zh_TW" w:bidi="zh_TW"/>
        </w:rPr>
        <w:t>歷代志下</w:t>
      </w:r>
    </w:p>
    <w:p>
      <w:pPr>
        <w:pStyle w:val="Heading3"/>
      </w:pPr>
      <w:r>
        <w:rPr>
          <w:lang w:val="zh_TW" w:bidi="zh_TW"/>
        </w:rPr>
        <w:t>寫作目的</w:t>
      </w:r>
    </w:p>
    <w:p>
      <w:pPr/>
      <w:r>
        <w:rPr>
          <w:lang w:val="zh_TW" w:bidi="zh_TW"/>
        </w:rPr>
      </w:r>
      <w:r>
        <w:rPr>
          <w:lang w:val="zh_TW" w:bidi="zh_TW"/>
        </w:rPr>
        <w:t>賦予讀者以色列王國恢復的盼望，並以正確的敬拜為其特色</w:t>
      </w:r>
    </w:p>
    <w:p>
      <w:pPr>
        <w:pStyle w:val="Heading3"/>
      </w:pPr>
      <w:r>
        <w:rPr>
          <w:lang w:val="zh_TW" w:bidi="zh_TW"/>
        </w:rPr>
        <w:t>作者</w:t>
      </w:r>
    </w:p>
    <w:p>
      <w:pPr/>
      <w:r>
        <w:rPr>
          <w:lang w:val="zh_TW" w:bidi="zh_TW"/>
        </w:rPr>
      </w:r>
      <w:r>
        <w:rPr>
          <w:lang w:val="zh_TW" w:bidi="zh_TW"/>
        </w:rPr>
        <w:t>未知</w:t>
      </w:r>
    </w:p>
    <w:p>
      <w:pPr>
        <w:pStyle w:val="Heading3"/>
      </w:pPr>
      <w:r>
        <w:rPr>
          <w:lang w:val="zh_TW" w:bidi="zh_TW"/>
        </w:rPr>
        <w:t>日期</w:t>
      </w:r>
    </w:p>
    <w:p>
      <w:pPr/>
      <w:r>
        <w:rPr>
          <w:lang w:val="zh_TW" w:bidi="zh_TW"/>
        </w:rPr>
      </w:r>
      <w:r>
        <w:rPr>
          <w:lang w:val="zh_TW" w:bidi="zh_TW"/>
        </w:rPr>
        <w:t>可能成書於公元前400年，記錄發生在公元前971–538年的事件</w:t>
      </w:r>
    </w:p>
    <w:p>
      <w:pPr>
        <w:pStyle w:val="Heading3"/>
      </w:pPr>
      <w:r>
        <w:rPr>
          <w:lang w:val="zh_TW" w:bidi="zh_TW"/>
        </w:rPr>
        <w:t>背景</w:t>
      </w:r>
    </w:p>
    <w:p>
      <w:pPr/>
      <w:r>
        <w:rPr>
          <w:lang w:val="zh_TW" w:bidi="zh_TW"/>
        </w:rPr>
      </w:r>
      <w:r>
        <w:rPr>
          <w:lang w:val="zh_TW" w:bidi="zh_TW"/>
        </w:rPr>
        <w:t>在波斯統治時的後猶大流亡時期；記錄開始於所羅門的統治，並以居魯士允許百姓返回猶大的宣言結束</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