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約珥</w:t>
      </w:r>
      <w:r>
        <w:rPr>
          <w:lang w:val="zh_TW" w:bidi="zh_TW"/>
        </w:rPr>
      </w:r>
    </w:p>
    <w:p>
      <w:pPr/>
      <w:r>
        <w:rPr>
          <w:lang w:val="zh_TW" w:bidi="zh_TW"/>
        </w:rPr>
      </w:r>
      <w:r>
        <w:rPr>
          <w:lang w:val="zh_TW" w:bidi="zh_TW"/>
        </w:rPr>
        <w:t>約珥書</w:t>
      </w:r>
    </w:p>
    <w:p>
      <w:pPr>
        <w:pStyle w:val="Heading3"/>
      </w:pPr>
      <w:r>
        <w:rPr>
          <w:lang w:val="zh_TW" w:bidi="zh_TW"/>
        </w:rPr>
        <w:t>寫作目的</w:t>
      </w:r>
    </w:p>
    <w:p>
      <w:pPr/>
      <w:r>
        <w:rPr>
          <w:lang w:val="zh_TW" w:bidi="zh_TW"/>
        </w:rPr>
      </w:r>
      <w:r>
        <w:rPr>
          <w:lang w:val="zh_TW" w:bidi="zh_TW"/>
        </w:rPr>
        <w:t>彰顯神的主權和審判，激勵讀者悔改，並應許復興</w:t>
      </w:r>
    </w:p>
    <w:p>
      <w:pPr>
        <w:pStyle w:val="Heading3"/>
      </w:pPr>
      <w:r>
        <w:rPr>
          <w:lang w:val="zh_TW" w:bidi="zh_TW"/>
        </w:rPr>
        <w:t>作者</w:t>
      </w:r>
    </w:p>
    <w:p>
      <w:pPr/>
      <w:r>
        <w:rPr>
          <w:lang w:val="zh_TW" w:bidi="zh_TW"/>
        </w:rPr>
      </w:r>
      <w:r>
        <w:rPr>
          <w:lang w:val="zh_TW" w:bidi="zh_TW"/>
        </w:rPr>
        <w:t>約珥</w:t>
      </w:r>
    </w:p>
    <w:p>
      <w:pPr>
        <w:pStyle w:val="Heading3"/>
      </w:pPr>
      <w:r>
        <w:rPr>
          <w:lang w:val="zh_TW" w:bidi="zh_TW"/>
        </w:rPr>
        <w:t>日期</w:t>
      </w:r>
    </w:p>
    <w:p>
      <w:pPr/>
      <w:r>
        <w:rPr>
          <w:lang w:val="zh_TW" w:bidi="zh_TW"/>
        </w:rPr>
      </w:r>
      <w:r>
        <w:rPr>
          <w:lang w:val="zh_TW" w:bidi="zh_TW"/>
        </w:rPr>
        <w:t>未知</w:t>
      </w:r>
    </w:p>
    <w:p>
      <w:pPr>
        <w:pStyle w:val="Heading3"/>
      </w:pPr>
      <w:r>
        <w:rPr>
          <w:lang w:val="zh_TW" w:bidi="zh_TW"/>
        </w:rPr>
        <w:t>背景</w:t>
      </w:r>
    </w:p>
    <w:p>
      <w:pPr/>
      <w:r>
        <w:rPr>
          <w:lang w:val="zh_TW" w:bidi="zh_TW"/>
        </w:rPr>
      </w:r>
      <w:r>
        <w:rPr>
          <w:lang w:val="zh_TW" w:bidi="zh_TW"/>
        </w:rPr>
        <w:t>在災難性的蝗災期間（被釋為實際發生的或比喻性的）的猶大地</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