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r/>
      <w:r>
        <w:rPr>
          <w:b/>
        </w:rPr>
        <w:t>Aquifer Open Study Notes (Book Intro Summaries)</w:t>
      </w:r>
    </w:p>
    <w:p>
      <w:r/>
      <w:r>
        <w:t xml:space="preserve">This work is an adaptation of </w:t>
      </w:r>
      <w:r>
        <w:t>Tyndale Open Study Notes</w:t>
      </w:r>
      <w:r>
        <w:t xml:space="preserve"> © 2023 Tyndale House Publishers, licensed under the CC BY-SA 4.0 license. The adaptation, </w:t>
      </w:r>
      <w:r>
        <w:t>Aquifer Open Study Notes</w:t>
      </w:r>
      <w:r>
        <w:t>, was created by Mission Mutual and is also licensed under CC BY-SA 4.0.</w:t>
      </w:r>
    </w:p>
    <w:p>
      <w:r/>
      <w: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
    </w:p>
    <w:p>
      <w:pPr>
        <w:pStyle w:val="Heading1"/>
      </w:pPr>
      <w: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Isaiah</w:t>
      </w:r>
      <w:r/>
    </w:p>
    <w:p>
      <w:r/>
      <w:r>
        <w:t>The Book of Isaiah</w:t>
      </w:r>
    </w:p>
    <w:p>
      <w:pPr>
        <w:pStyle w:val="Heading3"/>
      </w:pPr>
      <w:r>
        <w:t>Purpose</w:t>
      </w:r>
    </w:p>
    <w:p>
      <w:pPr>
        <w:pStyle w:val="ListNumber"/>
        <w:spacing w:line="240" w:lineRule="auto"/>
        <w:ind w:left="720"/>
      </w:pPr>
      <w:r/>
      <w:r>
        <w:t xml:space="preserve">To warn Judah of impending judgment </w:t>
      </w:r>
    </w:p>
    <w:p>
      <w:pPr>
        <w:pStyle w:val="ListNumber"/>
        <w:spacing w:line="240" w:lineRule="auto"/>
        <w:ind w:left="720"/>
      </w:pPr>
      <w:r/>
      <w:r>
        <w:t>To offer hope about a remnant of God’s people who survive the impending judgment</w:t>
      </w:r>
    </w:p>
    <w:p>
      <w:pPr>
        <w:pStyle w:val="Heading3"/>
      </w:pPr>
      <w:r>
        <w:t>Author</w:t>
      </w:r>
    </w:p>
    <w:p>
      <w:r/>
      <w:r>
        <w:t>Isaiah</w:t>
      </w:r>
    </w:p>
    <w:p>
      <w:pPr>
        <w:pStyle w:val="Heading3"/>
      </w:pPr>
      <w:r>
        <w:t>Date</w:t>
      </w:r>
    </w:p>
    <w:p>
      <w:r/>
      <w:r>
        <w:t>Around 740–685 BC</w:t>
      </w:r>
    </w:p>
    <w:p>
      <w:pPr>
        <w:pStyle w:val="Heading3"/>
      </w:pPr>
      <w:r>
        <w:t>Setting</w:t>
      </w:r>
    </w:p>
    <w:p>
      <w:r/>
      <w:r>
        <w:t>The southern kingdom of Judah, around the time of Assyria’s conquest of the northern kingdom of Israel</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