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r/>
      <w:r>
        <w:rPr>
          <w:b/>
        </w:rPr>
        <w:t>Aquifer Open Study Notes (Book Intro Summaries)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Joel</w:t>
      </w:r>
      <w:r/>
    </w:p>
    <w:p>
      <w:r/>
      <w:r>
        <w:t>The Book of Joel</w:t>
      </w:r>
    </w:p>
    <w:p>
      <w:pPr>
        <w:pStyle w:val="Heading3"/>
      </w:pPr>
      <w:r>
        <w:t>Purpose</w:t>
      </w:r>
    </w:p>
    <w:p>
      <w:pPr>
        <w:pStyle w:val="ListNumber"/>
        <w:spacing w:line="240" w:lineRule="auto"/>
        <w:ind w:left="720"/>
      </w:pPr>
      <w:r/>
      <w:r>
        <w:t>To display God’s sovereignty and judgment</w:t>
      </w:r>
    </w:p>
    <w:p>
      <w:pPr>
        <w:pStyle w:val="ListNumber"/>
        <w:spacing w:line="240" w:lineRule="auto"/>
        <w:ind w:left="720"/>
      </w:pPr>
      <w:r/>
      <w:r>
        <w:t>To encourage readers to repent</w:t>
      </w:r>
    </w:p>
    <w:p>
      <w:pPr>
        <w:pStyle w:val="ListNumber"/>
        <w:spacing w:line="240" w:lineRule="auto"/>
        <w:ind w:left="720"/>
      </w:pPr>
      <w:r/>
      <w:r>
        <w:t>To promise restoration</w:t>
      </w:r>
    </w:p>
    <w:p>
      <w:pPr>
        <w:pStyle w:val="Heading3"/>
      </w:pPr>
      <w:r>
        <w:t>Author</w:t>
      </w:r>
    </w:p>
    <w:p>
      <w:r/>
      <w:r>
        <w:t>Joel</w:t>
      </w:r>
    </w:p>
    <w:p>
      <w:pPr>
        <w:pStyle w:val="Heading3"/>
      </w:pPr>
      <w:r>
        <w:t>Date</w:t>
      </w:r>
    </w:p>
    <w:p>
      <w:r/>
      <w:r>
        <w:t>Unknown</w:t>
      </w:r>
    </w:p>
    <w:p>
      <w:pPr>
        <w:pStyle w:val="Heading3"/>
      </w:pPr>
      <w:r>
        <w:t>Setting</w:t>
      </w:r>
    </w:p>
    <w:p>
      <w:r/>
      <w:r>
        <w:t>The land of Judah, during a catastrophic locust plague (interpreted variously as literal or figurative)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