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r/>
    </w:p>
    <w:p>
      <w:pPr>
        <w:pStyle w:val="Heading2"/>
      </w:pPr>
      <w:r>
        <w:t>License Information</w:t>
      </w:r>
      <w:r/>
    </w:p>
    <w:p>
      <w:r/>
      <w:r>
        <w:rPr>
          <w:b/>
        </w:rPr>
        <w:t>Study Notes - Book Intro Summaries (Tyndale)</w:t>
      </w:r>
      <w:r>
        <w:t xml:space="preserve"> (French) is based on</w:t>
      </w:r>
      <w:r>
        <w:t xml:space="preserve">: </w:t>
      </w:r>
      <w:r>
        <w:t>Tyndale Open Study Notes</w:t>
      </w:r>
      <w:r>
        <w:t xml:space="preserve">, </w:t>
      </w:r>
      <w:hyperlink r:id="rId13">
        <w:r>
          <w:rPr>
            <w:color w:val="0000EE"/>
            <w:u w:val="single"/>
          </w:rPr>
          <w:t>Tyndale House Publishers</w:t>
        </w:r>
      </w:hyperlink>
      <w:r>
        <w:t xml:space="preserve">, 2019, which is licensed under a </w:t>
      </w:r>
      <w:hyperlink r:id="rId14">
        <w:r>
          <w:rPr>
            <w:color w:val="0000EE"/>
            <w:u w:val="single"/>
          </w:rPr>
          <w:t>CC BY-SA 4.0 license</w:t>
        </w:r>
      </w:hyperlink>
      <w:r>
        <w:t>.</w:t>
      </w:r>
      <w:r/>
    </w:p>
    <w:p>
      <w:r/>
      <w:r>
        <w:t>This PDF version is provided under the same license.</w:t>
      </w:r>
      <w:r/>
      <w:r/>
    </w:p>
    <w:p>
      <w:pPr>
        <w:pStyle w:val="Heading1"/>
      </w:pPr>
      <w:r>
        <w:t>Study Notes - Book Intro Summaries (Tyndale)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r/>
    </w:p>
    <w:p>
      <w:pPr>
        <w:pStyle w:val="Heading2"/>
      </w:pPr>
      <w:r>
        <w:t>Deutéronome</w:t>
      </w:r>
      <w:r/>
    </w:p>
    <w:p>
      <w:r/>
      <w:r>
        <w:t>Le livre du Deutéronome</w:t>
      </w:r>
    </w:p>
    <w:p>
      <w:pPr>
        <w:pStyle w:val="Heading3"/>
      </w:pPr>
      <w:r>
        <w:t>Dessein</w:t>
      </w:r>
    </w:p>
    <w:p>
      <w:r/>
      <w:r>
        <w:t>Renouveler et développer l’alliance, avant la mort de Moïse et l’entrée du peuple dans la terre promise</w:t>
      </w:r>
    </w:p>
    <w:p>
      <w:pPr>
        <w:pStyle w:val="Heading3"/>
      </w:pPr>
      <w:r>
        <w:t>Auteur</w:t>
      </w:r>
    </w:p>
    <w:p>
      <w:r/>
      <w:r>
        <w:t>Moïse, d’après la tradition</w:t>
      </w:r>
    </w:p>
    <w:p>
      <w:pPr>
        <w:pStyle w:val="Heading3"/>
      </w:pPr>
      <w:r>
        <w:t>Date</w:t>
      </w:r>
    </w:p>
    <w:p>
      <w:r/>
      <w:r>
        <w:t>Probablement vers 1406 av. J.-C. ou vers 1230 av. J.-C.</w:t>
      </w:r>
    </w:p>
    <w:p>
      <w:pPr>
        <w:pStyle w:val="Heading3"/>
      </w:pPr>
      <w:r>
        <w:t>Cadre</w:t>
      </w:r>
    </w:p>
    <w:p>
      <w:r/>
      <w:r>
        <w:t>Les Israélites sont sur le point d’entrer dans la terre promise et Moïse s’approche de la fin de sa vie</w:t>
      </w:r>
      <w:r/>
      <w:r/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tyndaleopenresources.com/" TargetMode="External"/><Relationship Id="rId14" Type="http://schemas.openxmlformats.org/officeDocument/2006/relationships/hyperlink" Target="https://creativecommons.org/licenses/by-sa/4.0/legalcode.en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