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Tawarikh</w:t>
      </w:r>
      <w:r/>
    </w:p>
    <w:p>
      <w:r/>
      <w:r>
        <w:t>Kitab 2 Tawarikh</w:t>
      </w:r>
    </w:p>
    <w:p>
      <w:pPr>
        <w:pStyle w:val="Heading3"/>
      </w:pPr>
      <w:r>
        <w:t>Tujuan</w:t>
      </w:r>
    </w:p>
    <w:p>
      <w:r/>
      <w:r>
        <w:t>Memberi harapan kepada pembaca tentang pemulihan Kerajaan Israel yang dicirikan oleh ibadah yang sejati</w:t>
      </w:r>
    </w:p>
    <w:p>
      <w:pPr>
        <w:pStyle w:val="Heading3"/>
      </w:pPr>
      <w:r>
        <w:t>Penulis</w:t>
      </w:r>
    </w:p>
    <w:p>
      <w:r/>
      <w:r>
        <w:t>Tidak diketahui</w:t>
      </w:r>
    </w:p>
    <w:p>
      <w:pPr>
        <w:pStyle w:val="Heading3"/>
      </w:pPr>
      <w:r>
        <w:t>Tahun penulisan</w:t>
      </w:r>
    </w:p>
    <w:p>
      <w:r/>
      <w:r>
        <w:t>Kemungkinan ditulis sekitar tahun 400 SM, mencatat peristiwa-peristiwa yang terjadi sekitar tahun 971–538 SM</w:t>
      </w:r>
    </w:p>
    <w:p>
      <w:pPr>
        <w:pStyle w:val="Heading3"/>
      </w:pPr>
      <w:r>
        <w:t>Latar Belakang</w:t>
      </w:r>
    </w:p>
    <w:p>
      <w:r/>
      <w:r>
        <w:t>Wilayah Yudea pasca-pembuangan dalam masa pemerintahan Persia; kitab ini dimulai dengan pemerintahan Salomo dan berakhir dengan pengumuman Koresh yang mengizinkan bangsa Israel kembali ke Yudea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