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hyperlink r:id="rId13">
        <w:r>
          <w:rPr>
            <w:lang w:val="es_ES" w:bidi="es_ES"/>
          </w:rPr>
          <w:rPr>
            <w:color w:val="0000EE"/>
            <w:u w:val="single"/>
          </w:rPr>
          <w:t>1:6,</w:t>
        </w:r>
      </w:hyperlink>
      <w:r>
        <w:rPr>
          <w:lang w:val="es_ES" w:bidi="es_ES"/>
        </w:rPr>
        <w:t xml:space="preserve"> </w:t>
      </w:r>
      <w:hyperlink r:id="rId14">
        <w:r>
          <w:rPr>
            <w:lang w:val="es_ES" w:bidi="es_ES"/>
          </w:rPr>
          <w:rPr>
            <w:color w:val="0000EE"/>
            <w:u w:val="single"/>
          </w:rPr>
          <w:t>4:12</w:t>
        </w:r>
      </w:hyperlink>
      <w:r>
        <w:rPr>
          <w:lang w:val="es_ES" w:bidi="es_ES"/>
        </w:rPr>
        <w:t>), y otros grupos decían cosas malas sobre ellos (</w:t>
      </w:r>
      <w:hyperlink r:id="rId15">
        <w:r>
          <w:rPr>
            <w:lang w:val="es_ES" w:bidi="es_ES"/>
          </w:rPr>
          <w:rPr>
            <w:color w:val="0000EE"/>
            <w:u w:val="single"/>
          </w:rPr>
          <w:t>4:4,</w:t>
        </w:r>
      </w:hyperlink>
      <w:r>
        <w:rPr>
          <w:lang w:val="es_ES" w:bidi="es_ES"/>
        </w:rPr>
        <w:t xml:space="preserve"> ver </w:t>
      </w:r>
      <w:hyperlink r:id="rId16">
        <w:r>
          <w:rPr>
            <w:lang w:val="es_ES" w:bidi="es_ES"/>
          </w:rPr>
          <w:rPr>
            <w:color w:val="0000EE"/>
            <w:u w:val="single"/>
          </w:rPr>
          <w:t>3:16</w:t>
        </w:r>
      </w:hyperlink>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hyperlink r:id="rId17">
        <w:r>
          <w:rPr>
            <w:lang w:val="es_ES" w:bidi="es_ES"/>
          </w:rPr>
          <w:rPr>
            <w:color w:val="0000EE"/>
            <w:u w:val="single"/>
          </w:rPr>
          <w:t>1:1–2</w:t>
        </w:r>
      </w:hyperlink>
      <w:r>
        <w:rPr>
          <w:lang w:val="es_ES" w:bidi="es_ES"/>
        </w:rPr>
        <w:t>), Pedro exhorta a sus lectores en la primera sección (</w:t>
      </w:r>
      <w:hyperlink r:id="rId18">
        <w:r>
          <w:rPr>
            <w:lang w:val="es_ES" w:bidi="es_ES"/>
          </w:rPr>
          <w:rPr>
            <w:color w:val="0000EE"/>
            <w:u w:val="single"/>
          </w:rPr>
          <w:t>1:3–2:12</w:t>
        </w:r>
      </w:hyperlink>
      <w:r>
        <w:rPr>
          <w:lang w:val="es_ES" w:bidi="es_ES"/>
        </w:rPr>
        <w:t>) a considerar su sufrimiento presente y temporal como un fortalecimiento de su fe y una preparación para recibir la salvación (</w:t>
      </w:r>
      <w:hyperlink r:id="rId19">
        <w:r>
          <w:rPr>
            <w:lang w:val="es_ES" w:bidi="es_ES"/>
          </w:rPr>
          <w:rPr>
            <w:color w:val="0000EE"/>
            <w:u w:val="single"/>
          </w:rPr>
          <w:t>1:3–9</w:t>
        </w:r>
      </w:hyperlink>
      <w:r>
        <w:rPr>
          <w:lang w:val="es_ES" w:bidi="es_ES"/>
        </w:rPr>
        <w:t>). Esta salvación es tan grande que los profetas la predijeron y los ángeles la investigan (</w:t>
      </w:r>
      <w:hyperlink r:id="rId20">
        <w:r>
          <w:rPr>
            <w:lang w:val="es_ES" w:bidi="es_ES"/>
          </w:rPr>
          <w:rPr>
            <w:color w:val="0000EE"/>
            <w:u w:val="single"/>
          </w:rPr>
          <w:t>1:10–12</w:t>
        </w:r>
      </w:hyperlink>
      <w:r>
        <w:rPr>
          <w:lang w:val="es_ES" w:bidi="es_ES"/>
        </w:rPr>
        <w:t>). Este don de salvación debería llevar a una vida de santidad que reconozca el costo al que Dios compró nuestra salvación (</w:t>
      </w:r>
      <w:hyperlink r:id="rId21">
        <w:r>
          <w:rPr>
            <w:lang w:val="es_ES" w:bidi="es_ES"/>
          </w:rPr>
          <w:rPr>
            <w:color w:val="0000EE"/>
            <w:u w:val="single"/>
          </w:rPr>
          <w:t>1:13–21</w:t>
        </w:r>
      </w:hyperlink>
      <w:r>
        <w:rPr>
          <w:lang w:val="es_ES" w:bidi="es_ES"/>
        </w:rPr>
        <w:t>). La primera sección concluye con un llamado al amor y la paciencia hacia los compañeros cristianos (</w:t>
      </w:r>
      <w:hyperlink r:id="rId22">
        <w:r>
          <w:rPr>
            <w:lang w:val="es_ES" w:bidi="es_ES"/>
          </w:rPr>
          <w:rPr>
            <w:color w:val="0000EE"/>
            <w:u w:val="single"/>
          </w:rPr>
          <w:t>1:22–2:3</w:t>
        </w:r>
      </w:hyperlink>
      <w:r>
        <w:rPr>
          <w:lang w:val="es_ES" w:bidi="es_ES"/>
        </w:rPr>
        <w:t>) y un recordatorio de nuestro estatus como el nuevo pueblo del pacto de Dios (</w:t>
      </w:r>
      <w:hyperlink r:id="rId23">
        <w:r>
          <w:rPr>
            <w:lang w:val="es_ES" w:bidi="es_ES"/>
          </w:rPr>
          <w:rPr>
            <w:color w:val="0000EE"/>
            <w:u w:val="single"/>
          </w:rPr>
          <w:t>2:4–12</w:t>
        </w:r>
      </w:hyperlink>
      <w:r>
        <w:rPr>
          <w:lang w:val="es_ES" w:bidi="es_ES"/>
        </w:rPr>
        <w:t>).</w:t>
      </w:r>
    </w:p>
    <w:p>
      <w:pPr/>
      <w:r>
        <w:rPr>
          <w:lang w:val="es_ES" w:bidi="es_ES"/>
        </w:rPr>
      </w:r>
      <w:r>
        <w:rPr>
          <w:lang w:val="es_ES" w:bidi="es_ES"/>
        </w:rPr>
        <w:t>La segunda parte de la carta (</w:t>
      </w:r>
      <w:hyperlink r:id="rId24">
        <w:r>
          <w:rPr>
            <w:lang w:val="es_ES" w:bidi="es_ES"/>
          </w:rPr>
          <w:rPr>
            <w:color w:val="0000EE"/>
            <w:u w:val="single"/>
          </w:rPr>
          <w:t>2:13–3:12</w:t>
        </w:r>
      </w:hyperlink>
      <w:r>
        <w:rPr>
          <w:lang w:val="es_ES" w:bidi="es_ES"/>
        </w:rPr>
        <w:t>) exhorta a los cristianos a vivir bajo las autoridades reconocidas como testimonio ante un mundo hostil. Los cristianos deben aceptar la autoridad del gobierno (</w:t>
      </w:r>
      <w:hyperlink r:id="rId25">
        <w:r>
          <w:rPr>
            <w:lang w:val="es_ES" w:bidi="es_ES"/>
          </w:rPr>
          <w:rPr>
            <w:color w:val="0000EE"/>
            <w:u w:val="single"/>
          </w:rPr>
          <w:t>2:13–17</w:t>
        </w:r>
      </w:hyperlink>
      <w:r>
        <w:rPr>
          <w:lang w:val="es_ES" w:bidi="es_ES"/>
        </w:rPr>
        <w:t>), los esclavos cristianos deben aceptar la autoridad de sus amos (</w:t>
      </w:r>
      <w:hyperlink r:id="rId26">
        <w:r>
          <w:rPr>
            <w:lang w:val="es_ES" w:bidi="es_ES"/>
          </w:rPr>
          <w:rPr>
            <w:color w:val="0000EE"/>
            <w:u w:val="single"/>
          </w:rPr>
          <w:t>2:18–25</w:t>
        </w:r>
      </w:hyperlink>
      <w:r>
        <w:rPr>
          <w:lang w:val="es_ES" w:bidi="es_ES"/>
        </w:rPr>
        <w:t>), y las esposas cristianas deben aceptar la autoridad de sus maridos (</w:t>
      </w:r>
      <w:hyperlink r:id="rId27">
        <w:r>
          <w:rPr>
            <w:lang w:val="es_ES" w:bidi="es_ES"/>
          </w:rPr>
          <w:rPr>
            <w:color w:val="0000EE"/>
            <w:u w:val="single"/>
          </w:rPr>
          <w:t>3:1–6</w:t>
        </w:r>
      </w:hyperlink>
      <w:r>
        <w:rPr>
          <w:lang w:val="es_ES" w:bidi="es_ES"/>
        </w:rPr>
        <w:t>). Los maridos, por su parte, deben honrar a sus esposas (</w:t>
      </w:r>
      <w:hyperlink r:id="rId28">
        <w:r>
          <w:rPr>
            <w:lang w:val="es_ES" w:bidi="es_ES"/>
          </w:rPr>
          <w:rPr>
            <w:color w:val="0000EE"/>
            <w:u w:val="single"/>
          </w:rPr>
          <w:t>3:7</w:t>
        </w:r>
      </w:hyperlink>
      <w:r>
        <w:rPr>
          <w:lang w:val="es_ES" w:bidi="es_ES"/>
        </w:rPr>
        <w:t>). Esta sección concluye con exhortaciones generales sobre el comportamiento que Dios recompensa (</w:t>
      </w:r>
      <w:hyperlink r:id="rId29">
        <w:r>
          <w:rPr>
            <w:lang w:val="es_ES" w:bidi="es_ES"/>
          </w:rPr>
          <w:rPr>
            <w:color w:val="0000EE"/>
            <w:u w:val="single"/>
          </w:rPr>
          <w:t>3:8–12</w:t>
        </w:r>
      </w:hyperlink>
      <w:r>
        <w:rPr>
          <w:lang w:val="es_ES" w:bidi="es_ES"/>
        </w:rPr>
        <w:t>).</w:t>
      </w:r>
    </w:p>
    <w:p>
      <w:pPr/>
      <w:r>
        <w:rPr>
          <w:lang w:val="es_ES" w:bidi="es_ES"/>
        </w:rPr>
      </w:r>
      <w:r>
        <w:rPr>
          <w:lang w:val="es_ES" w:bidi="es_ES"/>
        </w:rPr>
        <w:t>La tercera sección (</w:t>
      </w:r>
      <w:hyperlink r:id="rId30">
        <w:r>
          <w:rPr>
            <w:lang w:val="es_ES" w:bidi="es_ES"/>
          </w:rPr>
          <w:rPr>
            <w:color w:val="0000EE"/>
            <w:u w:val="single"/>
          </w:rPr>
          <w:t>3:13–4:11</w:t>
        </w:r>
      </w:hyperlink>
      <w:r>
        <w:rPr>
          <w:lang w:val="es_ES" w:bidi="es_ES"/>
        </w:rPr>
        <w:t>) comienza con un desafío a responder a las presiones sociales con un comportamiento honorable y respetuoso, incluso cuando esto resulta en abuso (</w:t>
      </w:r>
      <w:hyperlink r:id="rId31">
        <w:r>
          <w:rPr>
            <w:lang w:val="es_ES" w:bidi="es_ES"/>
          </w:rPr>
          <w:rPr>
            <w:color w:val="0000EE"/>
            <w:u w:val="single"/>
          </w:rPr>
          <w:t>3:13–17</w:t>
        </w:r>
      </w:hyperlink>
      <w:r>
        <w:rPr>
          <w:lang w:val="es_ES" w:bidi="es_ES"/>
        </w:rPr>
        <w:t>). Pedro recuerda a sus lectores que la esperanza de la redención es segura gracias a la vida, muerte, resurrección y ascensión de Cristo (</w:t>
      </w:r>
      <w:hyperlink r:id="rId32">
        <w:r>
          <w:rPr>
            <w:lang w:val="es_ES" w:bidi="es_ES"/>
          </w:rPr>
          <w:rPr>
            <w:color w:val="0000EE"/>
            <w:u w:val="single"/>
          </w:rPr>
          <w:t>3:18–22</w:t>
        </w:r>
      </w:hyperlink>
      <w:r>
        <w:rPr>
          <w:lang w:val="es_ES" w:bidi="es_ES"/>
        </w:rPr>
        <w:t>). Pedro renueva su llamado a abandonar los caminos y valores del mundo (</w:t>
      </w:r>
      <w:hyperlink r:id="rId33">
        <w:r>
          <w:rPr>
            <w:lang w:val="es_ES" w:bidi="es_ES"/>
          </w:rPr>
          <w:rPr>
            <w:color w:val="0000EE"/>
            <w:u w:val="single"/>
          </w:rPr>
          <w:t>4:1–6</w:t>
        </w:r>
      </w:hyperlink>
      <w:r>
        <w:rPr>
          <w:lang w:val="es_ES" w:bidi="es_ES"/>
        </w:rPr>
        <w:t>) y concluye con varias exhortaciones (</w:t>
      </w:r>
      <w:hyperlink r:id="rId34">
        <w:r>
          <w:rPr>
            <w:lang w:val="es_ES" w:bidi="es_ES"/>
          </w:rPr>
          <w:rPr>
            <w:color w:val="0000EE"/>
            <w:u w:val="single"/>
          </w:rPr>
          <w:t>4:7–11</w:t>
        </w:r>
      </w:hyperlink>
      <w:r>
        <w:rPr>
          <w:lang w:val="es_ES" w:bidi="es_ES"/>
        </w:rPr>
        <w:t>).</w:t>
      </w:r>
    </w:p>
    <w:p>
      <w:pPr/>
      <w:r>
        <w:rPr>
          <w:lang w:val="es_ES" w:bidi="es_ES"/>
        </w:rPr>
      </w:r>
      <w:r>
        <w:rPr>
          <w:lang w:val="es_ES" w:bidi="es_ES"/>
        </w:rPr>
        <w:t>La cuarta sección de la carta (</w:t>
      </w:r>
      <w:hyperlink r:id="rId35">
        <w:r>
          <w:rPr>
            <w:lang w:val="es_ES" w:bidi="es_ES"/>
          </w:rPr>
          <w:rPr>
            <w:color w:val="0000EE"/>
            <w:u w:val="single"/>
          </w:rPr>
          <w:t>4:12–5:11</w:t>
        </w:r>
      </w:hyperlink>
      <w:r>
        <w:rPr>
          <w:lang w:val="es_ES" w:bidi="es_ES"/>
        </w:rPr>
        <w:t>) comienza con un llamado final a mantenerse firmes en medio del sufrimiento (</w:t>
      </w:r>
      <w:hyperlink r:id="rId36">
        <w:r>
          <w:rPr>
            <w:lang w:val="es_ES" w:bidi="es_ES"/>
          </w:rPr>
          <w:rPr>
            <w:color w:val="0000EE"/>
            <w:u w:val="single"/>
          </w:rPr>
          <w:t>4:12–19</w:t>
        </w:r>
      </w:hyperlink>
      <w:r>
        <w:rPr>
          <w:lang w:val="es_ES" w:bidi="es_ES"/>
        </w:rPr>
        <w:t>). Luego, Pedro concluye con una exhortación dirigida a los ancianos (</w:t>
      </w:r>
      <w:hyperlink r:id="rId37">
        <w:r>
          <w:rPr>
            <w:lang w:val="es_ES" w:bidi="es_ES"/>
          </w:rPr>
          <w:rPr>
            <w:color w:val="0000EE"/>
            <w:u w:val="single"/>
          </w:rPr>
          <w:t>5:1–4</w:t>
        </w:r>
      </w:hyperlink>
      <w:r>
        <w:rPr>
          <w:lang w:val="es_ES" w:bidi="es_ES"/>
        </w:rPr>
        <w:t>), a los jóvenes (</w:t>
      </w:r>
      <w:hyperlink r:id="rId38">
        <w:r>
          <w:rPr>
            <w:lang w:val="es_ES" w:bidi="es_ES"/>
          </w:rPr>
          <w:rPr>
            <w:color w:val="0000EE"/>
            <w:u w:val="single"/>
          </w:rPr>
          <w:t>5:5</w:t>
        </w:r>
      </w:hyperlink>
      <w:r>
        <w:rPr>
          <w:lang w:val="es_ES" w:bidi="es_ES"/>
        </w:rPr>
        <w:t>) y a la iglesia en general (</w:t>
      </w:r>
      <w:hyperlink r:id="rId39">
        <w:r>
          <w:rPr>
            <w:lang w:val="es_ES" w:bidi="es_ES"/>
          </w:rPr>
          <w:rPr>
            <w:color w:val="0000EE"/>
            <w:u w:val="single"/>
          </w:rPr>
          <w:t>5:5–11</w:t>
        </w:r>
      </w:hyperlink>
      <w:r>
        <w:rPr>
          <w:lang w:val="es_ES" w:bidi="es_ES"/>
        </w:rPr>
        <w:t>). La carta finaliza con los saludos habituales (</w:t>
      </w:r>
      <w:hyperlink r:id="rId40">
        <w:r>
          <w:rPr>
            <w:lang w:val="es_ES" w:bidi="es_ES"/>
          </w:rPr>
          <w:rPr>
            <w:color w:val="0000EE"/>
            <w:u w:val="single"/>
          </w:rPr>
          <w:t>5:12–14</w:t>
        </w:r>
      </w:hyperlink>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1">
        <w:r>
          <w:rPr>
            <w:lang w:val="es_ES" w:bidi="es_ES"/>
          </w:rPr>
          <w:rPr>
            <w:color w:val="0000EE"/>
            <w:u w:val="single"/>
          </w:rPr>
          <w:t>Hechos 1:1–12:25</w:t>
        </w:r>
      </w:hyperlink>
      <w:r>
        <w:rPr>
          <w:lang w:val="es_ES" w:bidi="es_ES"/>
        </w:rPr>
        <w:t>). Lucas nos informa que después de ser rescatado milagrosamente de la prisión, Pedro “fue a otro lugar” (</w:t>
      </w:r>
      <w:hyperlink r:id="rId42">
        <w:r>
          <w:rPr>
            <w:lang w:val="es_ES" w:bidi="es_ES"/>
          </w:rPr>
          <w:rPr>
            <w:color w:val="0000EE"/>
            <w:u w:val="single"/>
          </w:rPr>
          <w:t>Hechos 12:17</w:t>
        </w:r>
      </w:hyperlink>
      <w:r>
        <w:rPr>
          <w:lang w:val="es_ES" w:bidi="es_ES"/>
        </w:rPr>
        <w:t>). Aunque hay muchas especulaciones, simplemente no sabemos a dónde fue. Pedro regresó para el concilio en Jerusalén (</w:t>
      </w:r>
      <w:hyperlink r:id="rId43">
        <w:r>
          <w:rPr>
            <w:lang w:val="es_ES" w:bidi="es_ES"/>
          </w:rPr>
          <w:rPr>
            <w:color w:val="0000EE"/>
            <w:u w:val="single"/>
          </w:rPr>
          <w:t>Hechos 15:1–41</w:t>
        </w:r>
      </w:hyperlink>
      <w:r>
        <w:rPr>
          <w:lang w:val="es_ES" w:bidi="es_ES"/>
        </w:rPr>
        <w:t xml:space="preserve">; 49 a 50 d. C.) y aparentemente pasó algún tiempo ministrando en Corinto (ver </w:t>
      </w:r>
      <w:hyperlink r:id="rId44">
        <w:r>
          <w:rPr>
            <w:lang w:val="es_ES" w:bidi="es_ES"/>
          </w:rPr>
          <w:rPr>
            <w:color w:val="0000EE"/>
            <w:u w:val="single"/>
          </w:rPr>
          <w:t>1 Co 1:12,</w:t>
        </w:r>
      </w:hyperlink>
      <w:r>
        <w:rPr>
          <w:lang w:val="es_ES" w:bidi="es_ES"/>
        </w:rPr>
        <w:t xml:space="preserve"> </w:t>
      </w:r>
      <w:hyperlink r:id="rId45">
        <w:r>
          <w:rPr>
            <w:lang w:val="es_ES" w:bidi="es_ES"/>
          </w:rPr>
          <w:rPr>
            <w:color w:val="0000EE"/>
            <w:u w:val="single"/>
          </w:rPr>
          <w:t>9:5</w:t>
        </w:r>
      </w:hyperlink>
      <w:r>
        <w:rPr>
          <w:lang w:val="es_ES" w:bidi="es_ES"/>
        </w:rPr>
        <w:t>). También estuvo en Antioquía en algún momento (</w:t>
      </w:r>
      <w:hyperlink r:id="rId46">
        <w:r>
          <w:rPr>
            <w:lang w:val="es_ES" w:bidi="es_ES"/>
          </w:rPr>
          <w:rPr>
            <w:color w:val="0000EE"/>
            <w:u w:val="single"/>
          </w:rPr>
          <w:t>Gal 2:11–16</w:t>
        </w:r>
      </w:hyperlink>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hyperlink r:id="rId47">
        <w:r>
          <w:rPr>
            <w:lang w:val="es_ES" w:bidi="es_ES"/>
          </w:rPr>
          <w:rPr>
            <w:color w:val="0000EE"/>
            <w:u w:val="single"/>
          </w:rPr>
          <w:t>5:13</w:t>
        </w:r>
      </w:hyperlink>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48">
        <w:r>
          <w:rPr>
            <w:lang w:val="es_ES" w:bidi="es_ES"/>
          </w:rPr>
          <w:rPr>
            <w:color w:val="0000EE"/>
            <w:u w:val="single"/>
          </w:rPr>
          <w:t>Ap 17:5</w:t>
        </w:r>
      </w:hyperlink>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hyperlink r:id="rId47">
        <w:r>
          <w:rPr>
            <w:lang w:val="es_ES" w:bidi="es_ES"/>
          </w:rPr>
          <w:rPr>
            <w:color w:val="0000EE"/>
            <w:u w:val="single"/>
          </w:rPr>
          <w:t>1 Pe 5:13</w:t>
        </w:r>
      </w:hyperlink>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49">
        <w:r>
          <w:rPr>
            <w:lang w:val="es_ES" w:bidi="es_ES"/>
          </w:rPr>
          <w:rPr>
            <w:color w:val="0000EE"/>
            <w:u w:val="single"/>
          </w:rPr>
          <w:t>1:12</w:t>
        </w:r>
      </w:hyperlink>
      <w:r>
        <w:rPr>
          <w:lang w:val="es_ES" w:bidi="es_ES"/>
        </w:rPr>
        <w:t xml:space="preserve">; ver </w:t>
      </w:r>
      <w:hyperlink r:id="rId50">
        <w:r>
          <w:rPr>
            <w:lang w:val="es_ES" w:bidi="es_ES"/>
          </w:rPr>
          <w:rPr>
            <w:color w:val="0000EE"/>
            <w:u w:val="single"/>
          </w:rPr>
          <w:t>1:5</w:t>
        </w:r>
      </w:hyperlink>
      <w:r>
        <w:rPr>
          <w:lang w:val="es_ES" w:bidi="es_ES"/>
        </w:rPr>
        <w:t>,</w:t>
      </w:r>
      <w:hyperlink r:id="rId51">
        <w:r>
          <w:rPr>
            <w:lang w:val="es_ES" w:bidi="es_ES"/>
          </w:rPr>
          <w:rPr>
            <w:color w:val="0000EE"/>
            <w:u w:val="single"/>
          </w:rPr>
          <w:t>10</w:t>
        </w:r>
      </w:hyperlink>
      <w:r>
        <w:rPr>
          <w:lang w:val="es_ES" w:bidi="es_ES"/>
        </w:rPr>
        <w:t>). Somos hijos de Dios (</w:t>
      </w:r>
      <w:hyperlink r:id="rId52">
        <w:r>
          <w:rPr>
            <w:lang w:val="es_ES" w:bidi="es_ES"/>
          </w:rPr>
          <w:rPr>
            <w:color w:val="0000EE"/>
            <w:u w:val="single"/>
          </w:rPr>
          <w:t>1:14</w:t>
        </w:r>
      </w:hyperlink>
      <w:r>
        <w:rPr>
          <w:lang w:val="es_ES" w:bidi="es_ES"/>
        </w:rPr>
        <w:t>), nacidos de nuevo mediante la poderosa palabra de Dios (</w:t>
      </w:r>
      <w:hyperlink r:id="rId53">
        <w:r>
          <w:rPr>
            <w:lang w:val="es_ES" w:bidi="es_ES"/>
          </w:rPr>
          <w:rPr>
            <w:color w:val="0000EE"/>
            <w:u w:val="single"/>
          </w:rPr>
          <w:t>1:23</w:t>
        </w:r>
      </w:hyperlink>
      <w:r>
        <w:rPr>
          <w:lang w:val="es_ES" w:bidi="es_ES"/>
        </w:rPr>
        <w:t>). Somos las piedras que Dios utiliza para construir un nuevo templo espiritual (</w:t>
      </w:r>
      <w:hyperlink r:id="rId54">
        <w:r>
          <w:rPr>
            <w:lang w:val="es_ES" w:bidi="es_ES"/>
          </w:rPr>
          <w:rPr>
            <w:color w:val="0000EE"/>
            <w:u w:val="single"/>
          </w:rPr>
          <w:t>2:5</w:t>
        </w:r>
      </w:hyperlink>
      <w:r>
        <w:rPr>
          <w:lang w:val="es_ES" w:bidi="es_ES"/>
        </w:rPr>
        <w:t>) y un pueblo escogido, llamado de la oscuridad a la luz (</w:t>
      </w:r>
      <w:hyperlink r:id="rId55">
        <w:r>
          <w:rPr>
            <w:lang w:val="es_ES" w:bidi="es_ES"/>
          </w:rPr>
          <w:rPr>
            <w:color w:val="0000EE"/>
            <w:u w:val="single"/>
          </w:rPr>
          <w:t>2:9–10</w:t>
        </w:r>
      </w:hyperlink>
      <w:r>
        <w:rPr>
          <w:lang w:val="es_ES" w:bidi="es_ES"/>
        </w:rPr>
        <w:t>). Debido a que disfrutamos de todos estos privilegios, nos hemos convertido en extranjeros y forasteros en este mundo (</w:t>
      </w:r>
      <w:hyperlink r:id="rId56">
        <w:r>
          <w:rPr>
            <w:lang w:val="es_ES" w:bidi="es_ES"/>
          </w:rPr>
          <w:rPr>
            <w:color w:val="0000EE"/>
            <w:u w:val="single"/>
          </w:rPr>
          <w:t>1:1</w:t>
        </w:r>
      </w:hyperlink>
      <w:r>
        <w:rPr>
          <w:lang w:val="es_ES" w:bidi="es_ES"/>
        </w:rPr>
        <w:t>,</w:t>
      </w:r>
      <w:hyperlink r:id="rId57">
        <w:r>
          <w:rPr>
            <w:lang w:val="es_ES" w:bidi="es_ES"/>
          </w:rPr>
          <w:rPr>
            <w:color w:val="0000EE"/>
            <w:u w:val="single"/>
          </w:rPr>
          <w:t>17;</w:t>
        </w:r>
      </w:hyperlink>
      <w:r>
        <w:rPr>
          <w:lang w:val="es_ES" w:bidi="es_ES"/>
        </w:rPr>
        <w:t xml:space="preserve"> </w:t>
      </w:r>
      <w:hyperlink r:id="rId58">
        <w:r>
          <w:rPr>
            <w:lang w:val="es_ES" w:bidi="es_ES"/>
          </w:rPr>
          <w:rPr>
            <w:color w:val="0000EE"/>
            <w:u w:val="single"/>
          </w:rPr>
          <w:t>2:12</w:t>
        </w:r>
      </w:hyperlink>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hyperlink r:id="rId59">
        <w:r>
          <w:rPr>
            <w:lang w:val="es_ES" w:bidi="es_ES"/>
          </w:rPr>
          <w:rPr>
            <w:color w:val="0000EE"/>
            <w:u w:val="single"/>
          </w:rPr>
          <w:t>1:15–16</w:t>
        </w:r>
      </w:hyperlink>
      <w:r>
        <w:rPr>
          <w:lang w:val="es_ES" w:bidi="es_ES"/>
        </w:rPr>
        <w:t>). Debemos amarnos mutuamente (</w:t>
      </w:r>
      <w:hyperlink r:id="rId60">
        <w:r>
          <w:rPr>
            <w:lang w:val="es_ES" w:bidi="es_ES"/>
          </w:rPr>
          <w:rPr>
            <w:color w:val="0000EE"/>
            <w:u w:val="single"/>
          </w:rPr>
          <w:t>1:22</w:t>
        </w:r>
      </w:hyperlink>
      <w:r>
        <w:rPr>
          <w:lang w:val="es_ES" w:bidi="es_ES"/>
        </w:rPr>
        <w:t>) y respetar a las autoridades. Pedro resume todo esto en su llamado a "hacer el bien", incluso y especialmente hacia aquellos que abusan y causan dificultades (</w:t>
      </w:r>
      <w:hyperlink r:id="rId61">
        <w:r>
          <w:rPr>
            <w:lang w:val="es_ES" w:bidi="es_ES"/>
          </w:rPr>
          <w:rPr>
            <w:color w:val="0000EE"/>
            <w:u w:val="single"/>
          </w:rPr>
          <w:t>3:16–17,</w:t>
        </w:r>
      </w:hyperlink>
      <w:r>
        <w:rPr>
          <w:lang w:val="es_ES" w:bidi="es_ES"/>
        </w:rPr>
        <w:t xml:space="preserve"> </w:t>
      </w:r>
      <w:hyperlink r:id="rId62">
        <w:r>
          <w:rPr>
            <w:lang w:val="es_ES" w:bidi="es_ES"/>
          </w:rPr>
          <w:rPr>
            <w:color w:val="0000EE"/>
            <w:u w:val="single"/>
          </w:rPr>
          <w:t>4:19</w:t>
        </w:r>
      </w:hyperlink>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hyperlink r:id="rId63">
        <w:r>
          <w:rPr>
            <w:lang w:val="es_ES" w:bidi="es_ES"/>
          </w:rPr>
          <w:rPr>
            <w:color w:val="0000EE"/>
            <w:u w:val="single"/>
          </w:rPr>
          <w:t>1:18–19,</w:t>
        </w:r>
      </w:hyperlink>
      <w:r>
        <w:rPr>
          <w:lang w:val="es_ES" w:bidi="es_ES"/>
        </w:rPr>
        <w:t xml:space="preserve"> </w:t>
      </w:r>
      <w:hyperlink r:id="rId64">
        <w:r>
          <w:rPr>
            <w:lang w:val="es_ES" w:bidi="es_ES"/>
          </w:rPr>
          <w:rPr>
            <w:color w:val="0000EE"/>
            <w:u w:val="single"/>
          </w:rPr>
          <w:t>3:18</w:t>
        </w:r>
      </w:hyperlink>
      <w:r>
        <w:rPr>
          <w:lang w:val="es_ES" w:bidi="es_ES"/>
        </w:rPr>
        <w:t>), y su victoria sobre los poderes del mal nos brinda esperanza y confianza (</w:t>
      </w:r>
      <w:hyperlink r:id="rId19">
        <w:r>
          <w:rPr>
            <w:lang w:val="es_ES" w:bidi="es_ES"/>
          </w:rPr>
          <w:rPr>
            <w:color w:val="0000EE"/>
            <w:u w:val="single"/>
          </w:rPr>
          <w:t>1:3–9,</w:t>
        </w:r>
      </w:hyperlink>
      <w:r>
        <w:rPr>
          <w:lang w:val="es_ES" w:bidi="es_ES"/>
        </w:rPr>
        <w:t xml:space="preserve"> </w:t>
      </w:r>
      <w:hyperlink r:id="rId65">
        <w:r>
          <w:rPr>
            <w:lang w:val="es_ES" w:bidi="es_ES"/>
          </w:rPr>
          <w:rPr>
            <w:color w:val="0000EE"/>
            <w:u w:val="single"/>
          </w:rPr>
          <w:t>3:19–22</w:t>
        </w:r>
      </w:hyperlink>
      <w:r>
        <w:rPr>
          <w:lang w:val="es_ES" w:bidi="es_ES"/>
        </w:rPr>
        <w:t>). Cristo nos proveyó salvación y santidad, y también nos dejó un ejemplo a seguir. Cristo no tomó represalias cuando fue criticado, perseguido e incluso ejecutado (</w:t>
      </w:r>
      <w:hyperlink r:id="rId66">
        <w:r>
          <w:rPr>
            <w:lang w:val="es_ES" w:bidi="es_ES"/>
          </w:rPr>
          <w:rPr>
            <w:color w:val="0000EE"/>
            <w:u w:val="single"/>
          </w:rPr>
          <w:t>2:21–25</w:t>
        </w:r>
      </w:hyperlink>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