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3">
        <w:r>
          <w:rPr>
            <w:lang w:val="fr_FR" w:bidi="fr_FR"/>
          </w:rPr>
          <w:rPr>
            <w:color w:val="0000EE"/>
            <w:u w:val="single"/>
          </w:rPr>
          <w:t xml:space="preserve">2R 21.1–9 </w:t>
        </w:r>
      </w:hyperlink>
      <w:r>
        <w:rPr>
          <w:lang w:val="fr_FR" w:bidi="fr_FR"/>
        </w:rPr>
        <w:t xml:space="preserve">; </w:t>
      </w:r>
      <w:hyperlink r:id="rId14">
        <w:r>
          <w:rPr>
            <w:lang w:val="fr_FR" w:bidi="fr_FR"/>
          </w:rPr>
          <w:rPr>
            <w:color w:val="0000EE"/>
            <w:u w:val="single"/>
          </w:rPr>
          <w:t>2Ch 33.2–9</w:t>
        </w:r>
      </w:hyperlink>
      <w:r>
        <w:rPr>
          <w:lang w:val="fr_FR" w:bidi="fr_FR"/>
        </w:rPr>
        <w:t>). Manassé a encouragé le développement des rites païens des premiers colons pré-israélites de Canaan. Cette apostasie a condamné Juda. Le repentir postérieur de Manassé et ses tentatives pour réparer ses erreurs passées (</w:t>
      </w:r>
      <w:hyperlink r:id="rId15">
        <w:r>
          <w:rPr>
            <w:lang w:val="fr_FR" w:bidi="fr_FR"/>
          </w:rPr>
          <w:rPr>
            <w:color w:val="0000EE"/>
            <w:u w:val="single"/>
          </w:rPr>
          <w:t>2Ch 33.15–19</w:t>
        </w:r>
      </w:hyperlink>
      <w:r>
        <w:rPr>
          <w:lang w:val="fr_FR" w:bidi="fr_FR"/>
        </w:rPr>
        <w:t>) n’ont pas entraîné de changement durable, et son fils Amon s’est à son tour tourné vers les pratiques païennes (</w:t>
      </w:r>
      <w:hyperlink r:id="rId16">
        <w:r>
          <w:rPr>
            <w:lang w:val="fr_FR" w:bidi="fr_FR"/>
          </w:rPr>
          <w:rPr>
            <w:color w:val="0000EE"/>
            <w:u w:val="single"/>
          </w:rPr>
          <w:t>2R 21.21–22</w:t>
        </w:r>
      </w:hyperlink>
      <w:r>
        <w:rPr>
          <w:lang w:val="fr_FR" w:bidi="fr_FR"/>
        </w:rPr>
        <w:t>). Les ministères suivants de prophètes tels que Sophonie, Jérémie et Ézéchiel, ainsi que les efforts de réforme de Josias (</w:t>
      </w:r>
      <w:hyperlink r:id="rId17">
        <w:r>
          <w:rPr>
            <w:lang w:val="fr_FR" w:bidi="fr_FR"/>
          </w:rPr>
          <w:rPr>
            <w:color w:val="0000EE"/>
            <w:u w:val="single"/>
          </w:rPr>
          <w:t>2Ch 34.1–35.19</w:t>
        </w:r>
      </w:hyperlink>
      <w:r>
        <w:rPr>
          <w:lang w:val="fr_FR" w:bidi="fr_FR"/>
        </w:rPr>
        <w:t>) n’ont, eux non plus, pas eu d’effet durable. Les rois suivants de Juda ont tous été condamnés pour leur méchanceté (</w:t>
      </w:r>
      <w:hyperlink r:id="rId18">
        <w:r>
          <w:rPr>
            <w:lang w:val="fr_FR" w:bidi="fr_FR"/>
          </w:rPr>
          <w:rPr>
            <w:color w:val="0000EE"/>
            <w:u w:val="single"/>
          </w:rPr>
          <w:t>2R 23.32</w:t>
        </w:r>
      </w:hyperlink>
      <w:r>
        <w:rPr>
          <w:lang w:val="fr_FR" w:bidi="fr_FR"/>
        </w:rPr>
        <w:t xml:space="preserve">, </w:t>
      </w:r>
      <w:hyperlink r:id="rId19">
        <w:r>
          <w:rPr>
            <w:lang w:val="fr_FR" w:bidi="fr_FR"/>
          </w:rPr>
          <w:rPr>
            <w:color w:val="0000EE"/>
            <w:u w:val="single"/>
          </w:rPr>
          <w:t xml:space="preserve">37 </w:t>
        </w:r>
      </w:hyperlink>
      <w:r>
        <w:rPr>
          <w:lang w:val="fr_FR" w:bidi="fr_FR"/>
        </w:rPr>
        <w:t xml:space="preserve">; </w:t>
      </w:r>
      <w:hyperlink r:id="rId20">
        <w:r>
          <w:rPr>
            <w:lang w:val="fr_FR" w:bidi="fr_FR"/>
          </w:rPr>
          <w:rPr>
            <w:color w:val="0000EE"/>
            <w:u w:val="single"/>
          </w:rPr>
          <w:t xml:space="preserve">24.19 </w:t>
        </w:r>
      </w:hyperlink>
      <w:r>
        <w:rPr>
          <w:lang w:val="fr_FR" w:bidi="fr_FR"/>
        </w:rPr>
        <w:t xml:space="preserve">; </w:t>
      </w:r>
      <w:hyperlink r:id="rId21">
        <w:r>
          <w:rPr>
            <w:lang w:val="fr_FR" w:bidi="fr_FR"/>
          </w:rPr>
          <w:rPr>
            <w:color w:val="0000EE"/>
            <w:u w:val="single"/>
          </w:rPr>
          <w:t xml:space="preserve">Jr 22 </w:t>
        </w:r>
      </w:hyperlink>
      <w:r>
        <w:rPr>
          <w:lang w:val="fr_FR" w:bidi="fr_FR"/>
        </w:rPr>
        <w:t xml:space="preserve">; </w:t>
      </w:r>
      <w:hyperlink r:id="rId22">
        <w:r>
          <w:rPr>
            <w:lang w:val="fr_FR" w:bidi="fr_FR"/>
          </w:rPr>
          <w:rPr>
            <w:color w:val="0000EE"/>
            <w:u w:val="single"/>
          </w:rPr>
          <w:t xml:space="preserve">27.1–22 </w:t>
        </w:r>
      </w:hyperlink>
      <w:r>
        <w:rPr>
          <w:lang w:val="fr_FR" w:bidi="fr_FR"/>
        </w:rPr>
        <w:t xml:space="preserve">; </w:t>
      </w:r>
      <w:hyperlink r:id="rId23">
        <w:r>
          <w:rPr>
            <w:lang w:val="fr_FR" w:bidi="fr_FR"/>
          </w:rPr>
          <w:rPr>
            <w:color w:val="0000EE"/>
            <w:u w:val="single"/>
          </w:rPr>
          <w:t>36.30–31</w:t>
        </w:r>
      </w:hyperlink>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hyperlink r:id="rId24">
        <w:r>
          <w:rPr>
            <w:lang w:val="fr_FR" w:bidi="fr_FR"/>
          </w:rPr>
          <w:rPr>
            <w:color w:val="0000EE"/>
            <w:u w:val="single"/>
          </w:rPr>
          <w:t>Ha 1.2–4</w:t>
        </w:r>
      </w:hyperlink>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4">
        <w:r>
          <w:rPr>
            <w:lang w:val="fr_FR" w:bidi="fr_FR"/>
          </w:rPr>
          <w:rPr>
            <w:color w:val="0000EE"/>
            <w:u w:val="single"/>
          </w:rPr>
          <w:t>1.2–4</w:t>
        </w:r>
      </w:hyperlink>
      <w:r>
        <w:rPr>
          <w:lang w:val="fr_FR" w:bidi="fr_FR"/>
        </w:rPr>
        <w:t>). La première réponse de Dieu est qu’il est sur le point de s’occuper de la violence de Juda en amenant un peuple encore plus violent, les Babyloniens, pour les juger (</w:t>
      </w:r>
      <w:hyperlink r:id="rId25">
        <w:r>
          <w:rPr>
            <w:lang w:val="fr_FR" w:bidi="fr_FR"/>
          </w:rPr>
          <w:rPr>
            <w:color w:val="0000EE"/>
            <w:u w:val="single"/>
          </w:rPr>
          <w:t>1.5–11</w:t>
        </w:r>
      </w:hyperlink>
      <w:r>
        <w:rPr>
          <w:lang w:val="fr_FR" w:bidi="fr_FR"/>
        </w:rPr>
        <w:t>).</w:t>
      </w:r>
    </w:p>
    <w:p>
      <w:pPr/>
      <w:r>
        <w:rPr>
          <w:lang w:val="fr_FR" w:bidi="fr_FR"/>
        </w:rPr>
      </w:r>
      <w:r>
        <w:rPr>
          <w:lang w:val="fr_FR" w:bidi="fr_FR"/>
        </w:rPr>
        <w:t>Cette réponse déroute encore plus Habakuk (</w:t>
      </w:r>
      <w:hyperlink r:id="rId26">
        <w:r>
          <w:rPr>
            <w:lang w:val="fr_FR" w:bidi="fr_FR"/>
          </w:rPr>
          <w:rPr>
            <w:color w:val="0000EE"/>
            <w:u w:val="single"/>
          </w:rPr>
          <w:t>1.12–2.1</w:t>
        </w:r>
      </w:hyperlink>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hyperlink r:id="rId27">
        <w:r>
          <w:rPr>
            <w:lang w:val="fr_FR" w:bidi="fr_FR"/>
          </w:rPr>
          <w:rPr>
            <w:color w:val="0000EE"/>
            <w:u w:val="single"/>
          </w:rPr>
          <w:t>2.2–5</w:t>
        </w:r>
      </w:hyperlink>
      <w:r>
        <w:rPr>
          <w:lang w:val="fr_FR" w:bidi="fr_FR"/>
        </w:rPr>
        <w:t>). Tous deux ont échoué à garder les normes de foi et de moralité de Dieu, et tous deux méritaient d’être jugés. Dans une série de cinq chants de raillerie (</w:t>
      </w:r>
      <w:hyperlink r:id="rId28">
        <w:r>
          <w:rPr>
            <w:lang w:val="fr_FR" w:bidi="fr_FR"/>
          </w:rPr>
          <w:rPr>
            <w:color w:val="0000EE"/>
            <w:u w:val="single"/>
          </w:rPr>
          <w:t>2.6–20</w:t>
        </w:r>
      </w:hyperlink>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hyperlink r:id="rId29">
        <w:r>
          <w:rPr>
            <w:lang w:val="fr_FR" w:bidi="fr_FR"/>
          </w:rPr>
          <w:rPr>
            <w:color w:val="0000EE"/>
            <w:u w:val="single"/>
          </w:rPr>
          <w:t>3.1–2</w:t>
        </w:r>
      </w:hyperlink>
      <w:r>
        <w:rPr>
          <w:lang w:val="fr_FR" w:bidi="fr_FR"/>
        </w:rPr>
        <w:t>). Habakuk consigne ensuite un psaume de louange qui offre une réflexion poétique sur le récit de la rédemption de son peuple par Dieu lors de l’Exode (</w:t>
      </w:r>
      <w:hyperlink r:id="rId30">
        <w:r>
          <w:rPr>
            <w:lang w:val="fr_FR" w:bidi="fr_FR"/>
          </w:rPr>
          <w:rPr>
            <w:color w:val="0000EE"/>
            <w:u w:val="single"/>
          </w:rPr>
          <w:t>3.3–15</w:t>
        </w:r>
      </w:hyperlink>
      <w:r>
        <w:rPr>
          <w:lang w:val="fr_FR" w:bidi="fr_FR"/>
        </w:rPr>
        <w:t>). Habakuk conclut par une déclaration d’engagement et une note de louange (</w:t>
      </w:r>
      <w:hyperlink r:id="rId31">
        <w:r>
          <w:rPr>
            <w:lang w:val="fr_FR" w:bidi="fr_FR"/>
          </w:rPr>
          <w:rPr>
            <w:color w:val="0000EE"/>
            <w:u w:val="single"/>
          </w:rPr>
          <w:t>3.16–19</w:t>
        </w:r>
      </w:hyperlink>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hyperlink r:id="rId32">
        <w:r>
          <w:rPr>
            <w:lang w:val="fr_FR" w:bidi="fr_FR"/>
          </w:rPr>
          <w:rPr>
            <w:color w:val="0000EE"/>
            <w:u w:val="single"/>
          </w:rPr>
          <w:t>3.1</w:t>
        </w:r>
      </w:hyperlink>
      <w:r>
        <w:rPr>
          <w:lang w:val="fr_FR" w:bidi="fr_FR"/>
        </w:rPr>
        <w:t xml:space="preserve">, </w:t>
      </w:r>
      <w:hyperlink r:id="rId33">
        <w:r>
          <w:rPr>
            <w:lang w:val="fr_FR" w:bidi="fr_FR"/>
          </w:rPr>
          <w:rPr>
            <w:color w:val="0000EE"/>
            <w:u w:val="single"/>
          </w:rPr>
          <w:t>3</w:t>
        </w:r>
      </w:hyperlink>
      <w:r>
        <w:rPr>
          <w:lang w:val="fr_FR" w:bidi="fr_FR"/>
        </w:rPr>
        <w:t xml:space="preserve">, </w:t>
      </w:r>
      <w:hyperlink r:id="rId34">
        <w:r>
          <w:rPr>
            <w:lang w:val="fr_FR" w:bidi="fr_FR"/>
          </w:rPr>
          <w:rPr>
            <w:color w:val="0000EE"/>
            <w:u w:val="single"/>
          </w:rPr>
          <w:t>9</w:t>
        </w:r>
      </w:hyperlink>
      <w:r>
        <w:rPr>
          <w:lang w:val="fr_FR" w:bidi="fr_FR"/>
        </w:rPr>
        <w:t xml:space="preserve">, </w:t>
      </w:r>
      <w:hyperlink r:id="rId35">
        <w:r>
          <w:rPr>
            <w:lang w:val="fr_FR" w:bidi="fr_FR"/>
          </w:rPr>
          <w:rPr>
            <w:color w:val="0000EE"/>
            <w:u w:val="single"/>
          </w:rPr>
          <w:t>13</w:t>
        </w:r>
      </w:hyperlink>
      <w:r>
        <w:rPr>
          <w:lang w:val="fr_FR" w:bidi="fr_FR"/>
        </w:rPr>
        <w:t xml:space="preserve">, </w:t>
      </w:r>
      <w:hyperlink r:id="rId36">
        <w:r>
          <w:rPr>
            <w:lang w:val="fr_FR" w:bidi="fr_FR"/>
          </w:rPr>
          <w:rPr>
            <w:color w:val="0000EE"/>
            <w:u w:val="single"/>
          </w:rPr>
          <w:t>19</w:t>
        </w:r>
      </w:hyperlink>
      <w:r>
        <w:rPr>
          <w:lang w:val="fr_FR" w:bidi="fr_FR"/>
        </w:rPr>
        <w:t xml:space="preserve">), car les Lévites étaient responsables de la musique du Temple (voir </w:t>
      </w:r>
      <w:hyperlink r:id="rId37">
        <w:r>
          <w:rPr>
            <w:lang w:val="fr_FR" w:bidi="fr_FR"/>
          </w:rPr>
          <w:rPr>
            <w:color w:val="0000EE"/>
            <w:u w:val="single"/>
          </w:rPr>
          <w:t xml:space="preserve">1Ch 6.31–47 </w:t>
        </w:r>
      </w:hyperlink>
      <w:r>
        <w:rPr>
          <w:lang w:val="fr_FR" w:bidi="fr_FR"/>
        </w:rPr>
        <w:t xml:space="preserve">; </w:t>
      </w:r>
      <w:hyperlink r:id="rId38">
        <w:r>
          <w:rPr>
            <w:lang w:val="fr_FR" w:bidi="fr_FR"/>
          </w:rPr>
          <w:rPr>
            <w:color w:val="0000EE"/>
            <w:u w:val="single"/>
          </w:rPr>
          <w:t>25.1–31</w:t>
        </w:r>
      </w:hyperlink>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4">
        <w:r>
          <w:rPr>
            <w:lang w:val="fr_FR" w:bidi="fr_FR"/>
          </w:rPr>
          <w:rPr>
            <w:color w:val="0000EE"/>
            <w:u w:val="single"/>
          </w:rPr>
          <w:t>Ha 1.2–4</w:t>
        </w:r>
      </w:hyperlink>
      <w:r>
        <w:rPr>
          <w:lang w:val="fr_FR" w:bidi="fr_FR"/>
        </w:rPr>
        <w:t>) et son attention à l’empire néo-babylonien (</w:t>
      </w:r>
      <w:hyperlink r:id="rId25">
        <w:r>
          <w:rPr>
            <w:lang w:val="fr_FR" w:bidi="fr_FR"/>
          </w:rPr>
          <w:rPr>
            <w:color w:val="0000EE"/>
            <w:u w:val="single"/>
          </w:rPr>
          <w:t>1.5–11</w:t>
        </w:r>
      </w:hyperlink>
      <w:r>
        <w:rPr>
          <w:lang w:val="fr_FR" w:bidi="fr_FR"/>
        </w:rPr>
        <w:t xml:space="preserve"> ; </w:t>
      </w:r>
      <w:hyperlink r:id="rId28">
        <w:r>
          <w:rPr>
            <w:lang w:val="fr_FR" w:bidi="fr_FR"/>
          </w:rPr>
          <w:rPr>
            <w:color w:val="0000EE"/>
            <w:u w:val="single"/>
          </w:rPr>
          <w:t>2.6–20</w:t>
        </w:r>
      </w:hyperlink>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hyperlink r:id="rId39">
        <w:r>
          <w:rPr>
            <w:lang w:val="fr_FR" w:bidi="fr_FR"/>
          </w:rPr>
          <w:rPr>
            <w:color w:val="0000EE"/>
            <w:u w:val="single"/>
          </w:rPr>
          <w:t>2R 24.1–3</w:t>
        </w:r>
      </w:hyperlink>
      <w:r>
        <w:rPr>
          <w:lang w:val="fr_FR" w:bidi="fr_FR"/>
        </w:rPr>
        <w:t>) ont entraîné à la fois des prophéties condamnatoires (</w:t>
      </w:r>
      <w:hyperlink r:id="rId40">
        <w:r>
          <w:rPr>
            <w:lang w:val="fr_FR" w:bidi="fr_FR"/>
          </w:rPr>
          <w:rPr>
            <w:color w:val="0000EE"/>
            <w:u w:val="single"/>
          </w:rPr>
          <w:t xml:space="preserve">Jr 22.18–19 </w:t>
        </w:r>
      </w:hyperlink>
      <w:r>
        <w:rPr>
          <w:lang w:val="fr_FR" w:bidi="fr_FR"/>
        </w:rPr>
        <w:t xml:space="preserve">; </w:t>
      </w:r>
      <w:hyperlink r:id="rId41">
        <w:r>
          <w:rPr>
            <w:lang w:val="fr_FR" w:bidi="fr_FR"/>
          </w:rPr>
          <w:rPr>
            <w:color w:val="0000EE"/>
            <w:u w:val="single"/>
          </w:rPr>
          <w:t xml:space="preserve">26.3–6 </w:t>
        </w:r>
      </w:hyperlink>
      <w:r>
        <w:rPr>
          <w:lang w:val="fr_FR" w:bidi="fr_FR"/>
        </w:rPr>
        <w:t xml:space="preserve">; </w:t>
      </w:r>
      <w:hyperlink r:id="rId42">
        <w:r>
          <w:rPr>
            <w:lang w:val="fr_FR" w:bidi="fr_FR"/>
          </w:rPr>
          <w:rPr>
            <w:color w:val="0000EE"/>
            <w:u w:val="single"/>
          </w:rPr>
          <w:t>36.27–32</w:t>
        </w:r>
      </w:hyperlink>
      <w:r>
        <w:rPr>
          <w:lang w:val="fr_FR" w:bidi="fr_FR"/>
        </w:rPr>
        <w:t>) et la menace d’une invasion babylonienne (</w:t>
      </w:r>
      <w:hyperlink r:id="rId43">
        <w:r>
          <w:rPr>
            <w:lang w:val="fr_FR" w:bidi="fr_FR"/>
          </w:rPr>
          <w:rPr>
            <w:color w:val="0000EE"/>
            <w:u w:val="single"/>
          </w:rPr>
          <w:t>Jr 25</w:t>
        </w:r>
      </w:hyperlink>
      <w:r>
        <w:rPr>
          <w:lang w:val="fr_FR" w:bidi="fr_FR"/>
        </w:rPr>
        <w:t>). Ensuite, d’autres pensent que c’était pendant les premiers jours de Josias (640–609 av. J.‑C.), qui, avant la découverte du Livre de la Loi en 622 av. J.‑C., faisait face à une apostasie rampante (</w:t>
      </w:r>
      <w:hyperlink r:id="rId44">
        <w:r>
          <w:rPr>
            <w:lang w:val="fr_FR" w:bidi="fr_FR"/>
          </w:rPr>
          <w:rPr>
            <w:color w:val="0000EE"/>
            <w:u w:val="single"/>
          </w:rPr>
          <w:t>2Ch 34.1–7</w:t>
        </w:r>
      </w:hyperlink>
      <w:r>
        <w:rPr>
          <w:lang w:val="fr_FR" w:bidi="fr_FR"/>
        </w:rPr>
        <w:t>). D’autres encore défendent le point de vue juif traditionnel selon lequel Habakuk vivait à l’époque du règne indépendant de Manassé (686–642 av. J.‑C.), dont la méchanceté (</w:t>
      </w:r>
      <w:hyperlink r:id="rId45">
        <w:r>
          <w:rPr>
            <w:lang w:val="fr_FR" w:bidi="fr_FR"/>
          </w:rPr>
          <w:rPr>
            <w:color w:val="0000EE"/>
            <w:u w:val="single"/>
          </w:rPr>
          <w:t>2R 21.16–17</w:t>
        </w:r>
      </w:hyperlink>
      <w:r>
        <w:rPr>
          <w:lang w:val="fr_FR" w:bidi="fr_FR"/>
        </w:rPr>
        <w:t>) et les actions pour réintroduire le culte cananéen et les rites païens (</w:t>
      </w:r>
      <w:hyperlink r:id="rId46">
        <w:r>
          <w:rPr>
            <w:lang w:val="fr_FR" w:bidi="fr_FR"/>
          </w:rPr>
          <w:rPr>
            <w:color w:val="0000EE"/>
            <w:u w:val="single"/>
          </w:rPr>
          <w:t xml:space="preserve">2R 21.1–11 </w:t>
        </w:r>
      </w:hyperlink>
      <w:r>
        <w:rPr>
          <w:lang w:val="fr_FR" w:bidi="fr_FR"/>
        </w:rPr>
        <w:t xml:space="preserve">; </w:t>
      </w:r>
      <w:hyperlink r:id="rId47">
        <w:r>
          <w:rPr>
            <w:lang w:val="fr_FR" w:bidi="fr_FR"/>
          </w:rPr>
          <w:rPr>
            <w:color w:val="0000EE"/>
            <w:u w:val="single"/>
          </w:rPr>
          <w:t>2Ch 33.1–9</w:t>
        </w:r>
      </w:hyperlink>
      <w:r>
        <w:rPr>
          <w:lang w:val="fr_FR" w:bidi="fr_FR"/>
        </w:rPr>
        <w:t xml:space="preserve">, </w:t>
      </w:r>
      <w:hyperlink r:id="rId48">
        <w:r>
          <w:rPr>
            <w:lang w:val="fr_FR" w:bidi="fr_FR"/>
          </w:rPr>
          <w:rPr>
            <w:color w:val="0000EE"/>
            <w:u w:val="single"/>
          </w:rPr>
          <w:t>19–20</w:t>
        </w:r>
      </w:hyperlink>
      <w:r>
        <w:rPr>
          <w:lang w:val="fr_FR" w:bidi="fr_FR"/>
        </w:rPr>
        <w:t>) ont provoqué la proclamation par Dieu de la ruine de Juda (</w:t>
      </w:r>
      <w:hyperlink r:id="rId49">
        <w:r>
          <w:rPr>
            <w:lang w:val="fr_FR" w:bidi="fr_FR"/>
          </w:rPr>
          <w:rPr>
            <w:color w:val="0000EE"/>
            <w:u w:val="single"/>
          </w:rPr>
          <w:t>2R 21.12–15</w:t>
        </w:r>
      </w:hyperlink>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0">
        <w:r>
          <w:rPr>
            <w:lang w:val="fr_FR" w:bidi="fr_FR"/>
          </w:rPr>
          <w:rPr>
            <w:color w:val="0000EE"/>
            <w:u w:val="single"/>
          </w:rPr>
          <w:t>Ha 2.2–3</w:t>
        </w:r>
      </w:hyperlink>
      <w:r>
        <w:rPr>
          <w:lang w:val="fr_FR" w:bidi="fr_FR"/>
        </w:rPr>
        <w:t xml:space="preserve">, </w:t>
      </w:r>
      <w:hyperlink r:id="rId51">
        <w:r>
          <w:rPr>
            <w:lang w:val="fr_FR" w:bidi="fr_FR"/>
          </w:rPr>
          <w:rPr>
            <w:color w:val="0000EE"/>
            <w:u w:val="single"/>
          </w:rPr>
          <w:t>14</w:t>
        </w:r>
      </w:hyperlink>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hyperlink r:id="rId52">
        <w:r>
          <w:rPr>
            <w:lang w:val="fr_FR" w:bidi="fr_FR"/>
          </w:rPr>
          <w:rPr>
            <w:color w:val="0000EE"/>
            <w:u w:val="single"/>
          </w:rPr>
          <w:t>1Jn 5.21</w:t>
        </w:r>
      </w:hyperlink>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hyperlink r:id="rId53">
        <w:r>
          <w:rPr>
            <w:lang w:val="fr_FR" w:bidi="fr_FR"/>
          </w:rPr>
          <w:rPr>
            <w:color w:val="0000EE"/>
            <w:u w:val="single"/>
          </w:rPr>
          <w:t xml:space="preserve">Ha 1.12 </w:t>
        </w:r>
      </w:hyperlink>
      <w:r>
        <w:rPr>
          <w:lang w:val="fr_FR" w:bidi="fr_FR"/>
        </w:rPr>
        <w:t xml:space="preserve">; </w:t>
      </w:r>
      <w:hyperlink r:id="rId54">
        <w:r>
          <w:rPr>
            <w:lang w:val="fr_FR" w:bidi="fr_FR"/>
          </w:rPr>
          <w:rPr>
            <w:color w:val="0000EE"/>
            <w:u w:val="single"/>
          </w:rPr>
          <w:t>2.4</w:t>
        </w:r>
      </w:hyperlink>
      <w:r>
        <w:rPr>
          <w:lang w:val="fr_FR" w:bidi="fr_FR"/>
        </w:rPr>
        <w:t>). Ceux qui font confiance et servent activement Dieu pourront se réjouir dans le Seigneur (</w:t>
      </w:r>
      <w:hyperlink r:id="rId55">
        <w:r>
          <w:rPr>
            <w:lang w:val="fr_FR" w:bidi="fr_FR"/>
          </w:rPr>
          <w:rPr>
            <w:color w:val="0000EE"/>
            <w:u w:val="single"/>
          </w:rPr>
          <w:t xml:space="preserve">3.18 </w:t>
        </w:r>
      </w:hyperlink>
      <w:r>
        <w:rPr>
          <w:lang w:val="fr_FR" w:bidi="fr_FR"/>
        </w:rPr>
        <w:t xml:space="preserve">; </w:t>
      </w:r>
      <w:hyperlink r:id="rId56">
        <w:r>
          <w:rPr>
            <w:lang w:val="fr_FR" w:bidi="fr_FR"/>
          </w:rPr>
          <w:rPr>
            <w:color w:val="0000EE"/>
            <w:u w:val="single"/>
          </w:rPr>
          <w:t>Ph 4.4</w:t>
        </w:r>
      </w:hyperlink>
      <w:r>
        <w:rPr>
          <w:lang w:val="fr_FR" w:bidi="fr_FR"/>
        </w:rPr>
        <w:t>) et vivre triomphalement en toutes circonstances (</w:t>
      </w:r>
      <w:hyperlink r:id="rId57">
        <w:r>
          <w:rPr>
            <w:lang w:val="fr_FR" w:bidi="fr_FR"/>
          </w:rPr>
          <w:rPr>
            <w:color w:val="0000EE"/>
            <w:u w:val="single"/>
          </w:rPr>
          <w:t xml:space="preserve">Ha 2.20 </w:t>
        </w:r>
      </w:hyperlink>
      <w:r>
        <w:rPr>
          <w:lang w:val="fr_FR" w:bidi="fr_FR"/>
        </w:rPr>
        <w:t xml:space="preserve">; </w:t>
      </w:r>
      <w:hyperlink r:id="rId31">
        <w:r>
          <w:rPr>
            <w:lang w:val="fr_FR" w:bidi="fr_FR"/>
          </w:rPr>
          <w:rPr>
            <w:color w:val="0000EE"/>
            <w:u w:val="single"/>
          </w:rPr>
          <w:t xml:space="preserve">3.16–19 </w:t>
        </w:r>
      </w:hyperlink>
      <w:r>
        <w:rPr>
          <w:lang w:val="fr_FR" w:bidi="fr_FR"/>
        </w:rPr>
        <w:t xml:space="preserve">; voir aussi </w:t>
      </w:r>
      <w:hyperlink r:id="rId58">
        <w:r>
          <w:rPr>
            <w:lang w:val="fr_FR" w:bidi="fr_FR"/>
          </w:rPr>
          <w:rPr>
            <w:color w:val="0000EE"/>
            <w:u w:val="single"/>
          </w:rPr>
          <w:t xml:space="preserve">Rm 1.16–17 </w:t>
        </w:r>
      </w:hyperlink>
      <w:r>
        <w:rPr>
          <w:lang w:val="fr_FR" w:bidi="fr_FR"/>
        </w:rPr>
        <w:t xml:space="preserve">; </w:t>
      </w:r>
      <w:hyperlink r:id="rId59">
        <w:r>
          <w:rPr>
            <w:lang w:val="fr_FR" w:bidi="fr_FR"/>
          </w:rPr>
          <w:rPr>
            <w:color w:val="0000EE"/>
            <w:u w:val="single"/>
          </w:rPr>
          <w:t xml:space="preserve">Ga 3.11 </w:t>
        </w:r>
      </w:hyperlink>
      <w:r>
        <w:rPr>
          <w:lang w:val="fr_FR" w:bidi="fr_FR"/>
        </w:rPr>
        <w:t xml:space="preserve">; </w:t>
      </w:r>
      <w:hyperlink r:id="rId60">
        <w:r>
          <w:rPr>
            <w:lang w:val="fr_FR" w:bidi="fr_FR"/>
          </w:rPr>
          <w:rPr>
            <w:color w:val="0000EE"/>
            <w:u w:val="single"/>
          </w:rPr>
          <w:t>Hé 10.35–39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