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كانت مملكة سليمان ذروة مجد إسرائيل. "</w:t>
      </w:r>
      <w:r>
        <w:rPr>
          <w:lang w:val="ar_AE" w:bidi="ar_AE"/>
        </w:rPr>
        <w:t>فَتَعَاظَمَ ٱلْمَلِكُ سُلَيْمَانُ عَلَى كُلِّ مُلُوكِ ٱلْأَرْضِ فِي ٱلْغِنَى وَٱلْحِكْمَةِ</w:t>
      </w:r>
      <w:r>
        <w:rPr>
          <w:lang w:val="ar_AE" w:bidi="ar_AE"/>
        </w:rPr>
        <w:t>" (</w:t>
      </w:r>
      <w:hyperlink r:id="rId13">
        <w:r>
          <w:rPr>
            <w:lang w:val="ar_AE" w:bidi="ar_AE"/>
          </w:rPr>
          <w:rPr>
            <w:color w:val="0000EE"/>
            <w:u w:val="single"/>
          </w:rPr>
          <w:t>1 ملوك 10:23</w:t>
        </w:r>
      </w:hyperlink>
      <w:r>
        <w:rPr>
          <w:lang w:val="ar_AE" w:bidi="ar_AE"/>
        </w:rPr>
        <w:t>). أكَّدت ملِكة سبأ مجد مملكة سليمان، قائلة: "</w:t>
      </w:r>
      <w:r>
        <w:rPr>
          <w:lang w:val="ar_AE" w:bidi="ar_AE"/>
        </w:rPr>
        <w:t>صَحِيحًا كَانَ ٱلْخَبَرُ ٱلَّذِي سَمِعْتُهُ فِي أَرْضِي عَنْ أُمُورِكَ وَعَنْ حِكْمَتِكَ</w:t>
      </w:r>
      <w:r>
        <w:rPr>
          <w:lang w:val="ar_AE" w:bidi="ar_AE"/>
        </w:rPr>
        <w:t xml:space="preserve">! </w:t>
      </w:r>
      <w:r>
        <w:rPr>
          <w:lang w:val="ar_AE" w:bidi="ar_AE"/>
        </w:rPr>
        <w:t>لَمْ أُصَدِّقِ ٱلْأَخْبَارَ حَتَّى جِئْتُ وَأَبْصَرَتْ عَيْنَايَ</w:t>
      </w:r>
      <w:r>
        <w:rPr>
          <w:lang w:val="ar_AE" w:bidi="ar_AE"/>
        </w:rPr>
        <w:t>" (</w:t>
      </w:r>
      <w:hyperlink r:id="rId14">
        <w:r>
          <w:rPr>
            <w:lang w:val="ar_AE" w:bidi="ar_AE"/>
          </w:rPr>
          <w:rPr>
            <w:color w:val="0000EE"/>
            <w:u w:val="single"/>
          </w:rPr>
          <w:t>10:6–7</w:t>
        </w:r>
      </w:hyperlink>
      <w:r>
        <w:rPr>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lang w:val="ar_AE" w:bidi="ar_AE"/>
        </w:rPr>
        <w:t>أحداث وخلفية السِفر</w:t>
      </w:r>
    </w:p>
    <w:p>
      <w:pPr>
        <w:bidi/>
      </w:pPr>
      <w:r>
        <w:rPr>
          <w:lang w:val="ar_AE" w:bidi="ar_AE"/>
        </w:rPr>
      </w:r>
      <w:r>
        <w:rPr>
          <w:lang w:val="ar_AE" w:bidi="ar_AE"/>
        </w:rPr>
        <w:t>في ذروة قوته، كان سليمان يدير مملكة امتدت "من الفرات في الشمال إلى أرض الفلسطينيين وحدود مصر في الجَنُوب" (</w:t>
      </w:r>
      <w:hyperlink r:id="rId15">
        <w:r>
          <w:rPr>
            <w:lang w:val="ar_AE" w:bidi="ar_AE"/>
          </w:rPr>
          <w:rPr>
            <w:color w:val="0000EE"/>
            <w:u w:val="single"/>
          </w:rPr>
          <w:t>4:21</w:t>
        </w:r>
      </w:hyperlink>
      <w:r>
        <w:rPr>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lang w:val="ar_AE" w:bidi="ar_AE"/>
        </w:rPr>
      </w:r>
      <w:r>
        <w:rPr>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lang w:val="ar_AE" w:bidi="ar_AE"/>
        </w:rPr>
      </w:r>
      <w:r>
        <w:rPr>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lang w:val="ar_AE" w:bidi="ar_AE"/>
        </w:rPr>
        <w:t>فِي زَمَانِ شَيْخُوخَةِ سُلَيْمَانَ أَنَّ نِسَاءَهُ أَمَلْنَ قَلْبَهُ وَرَاءَ آلِهَةٍ أُخْرَى، وَلَمْ يَكُنْ قَلْبُهُ كَامِلًا مَعَ ٱلرَّبِّ إِلَهِهِ</w:t>
      </w:r>
      <w:r>
        <w:rPr>
          <w:lang w:val="ar_AE" w:bidi="ar_AE"/>
        </w:rPr>
        <w:t>"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7">
        <w:r>
          <w:rPr>
            <w:lang w:val="ar_AE" w:bidi="ar_AE"/>
          </w:rPr>
          <w:rPr>
            <w:color w:val="0000EE"/>
            <w:u w:val="single"/>
          </w:rPr>
          <w:t>20</w:t>
        </w:r>
      </w:hyperlink>
      <w:r>
        <w:rPr>
          <w:lang w:val="ar_AE" w:bidi="ar_AE"/>
        </w:rPr>
        <w:t xml:space="preserve">، </w:t>
      </w:r>
      <w:hyperlink r:id="rId18">
        <w:r>
          <w:rPr>
            <w:lang w:val="ar_AE" w:bidi="ar_AE"/>
          </w:rPr>
          <w:rPr>
            <w:color w:val="0000EE"/>
            <w:u w:val="single"/>
          </w:rPr>
          <w:t>22</w:t>
        </w:r>
      </w:hyperlink>
      <w:r>
        <w:rPr>
          <w:lang w:val="ar_AE" w:bidi="ar_AE"/>
        </w:rPr>
        <w:t>).</w:t>
      </w:r>
    </w:p>
    <w:p>
      <w:pPr>
        <w:bidi/>
      </w:pPr>
      <w:r>
        <w:rPr>
          <w:lang w:val="ar_AE" w:bidi="ar_AE"/>
        </w:rPr>
      </w:r>
      <w:r>
        <w:rPr>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lang w:val="ar_AE" w:bidi="ar_AE"/>
        </w:rPr>
      </w:r>
      <w:r>
        <w:rPr>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19">
        <w:r>
          <w:rPr>
            <w:lang w:val="ar_AE" w:bidi="ar_AE"/>
          </w:rPr>
          <w:rPr>
            <w:color w:val="0000EE"/>
            <w:u w:val="single"/>
          </w:rPr>
          <w:t>2 ملوك 17:21–23</w:t>
        </w:r>
      </w:hyperlink>
      <w:r>
        <w:rPr>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0">
        <w:r>
          <w:rPr>
            <w:lang w:val="ar_AE" w:bidi="ar_AE"/>
          </w:rPr>
          <w:rPr>
            <w:color w:val="0000EE"/>
            <w:u w:val="single"/>
          </w:rPr>
          <w:t>1 ملوك 15:11؛</w:t>
        </w:r>
      </w:hyperlink>
      <w:r>
        <w:rPr>
          <w:lang w:val="ar_AE" w:bidi="ar_AE"/>
        </w:rPr>
        <w:t xml:space="preserve"> </w:t>
      </w:r>
      <w:hyperlink r:id="rId21">
        <w:r>
          <w:rPr>
            <w:lang w:val="ar_AE" w:bidi="ar_AE"/>
          </w:rPr>
          <w:rPr>
            <w:color w:val="0000EE"/>
            <w:u w:val="single"/>
          </w:rPr>
          <w:t>22:43</w:t>
        </w:r>
      </w:hyperlink>
      <w:r>
        <w:rPr>
          <w:lang w:val="ar_AE" w:bidi="ar_AE"/>
        </w:rPr>
        <w:t>).</w:t>
      </w:r>
    </w:p>
    <w:p>
      <w:pPr>
        <w:pStyle w:val="Heading2"/>
        <w:bidi/>
      </w:pPr>
      <w:r>
        <w:rPr>
          <w:lang w:val="ar_AE" w:bidi="ar_AE"/>
        </w:rPr>
        <w:t>الخُلاصة</w:t>
      </w:r>
    </w:p>
    <w:p>
      <w:pPr>
        <w:bidi/>
      </w:pPr>
      <w:r>
        <w:rPr>
          <w:lang w:val="ar_AE" w:bidi="ar_AE"/>
        </w:rPr>
      </w:r>
      <w:r>
        <w:rPr>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lang w:val="ar_AE" w:bidi="ar_AE"/>
        </w:rPr>
      </w:r>
      <w:r>
        <w:rPr>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2">
        <w:r>
          <w:rPr>
            <w:lang w:val="ar_AE" w:bidi="ar_AE"/>
          </w:rPr>
          <w:rPr>
            <w:color w:val="0000EE"/>
            <w:u w:val="single"/>
          </w:rPr>
          <w:t>1:1–2:46</w:t>
        </w:r>
      </w:hyperlink>
      <w:r>
        <w:rPr>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3">
        <w:r>
          <w:rPr>
            <w:lang w:val="ar_AE" w:bidi="ar_AE"/>
          </w:rPr>
          <w:rPr>
            <w:color w:val="0000EE"/>
            <w:u w:val="single"/>
          </w:rPr>
          <w:t>11:1–13</w:t>
        </w:r>
      </w:hyperlink>
      <w:r>
        <w:rPr>
          <w:lang w:val="ar_AE" w:bidi="ar_AE"/>
        </w:rPr>
        <w:t xml:space="preserve">) وتدابيره الإدارية القمعية (مثل </w:t>
      </w:r>
      <w:hyperlink r:id="rId24">
        <w:r>
          <w:rPr>
            <w:lang w:val="ar_AE" w:bidi="ar_AE"/>
          </w:rPr>
          <w:rPr>
            <w:color w:val="0000EE"/>
            <w:u w:val="single"/>
          </w:rPr>
          <w:t>5:13–18</w:t>
        </w:r>
      </w:hyperlink>
      <w:r>
        <w:rPr>
          <w:lang w:val="ar_AE" w:bidi="ar_AE"/>
        </w:rPr>
        <w:t>) إلى إثارة الخصوم السياسيين داخل البلاد وخارجها (</w:t>
      </w:r>
      <w:hyperlink r:id="rId25">
        <w:r>
          <w:rPr>
            <w:lang w:val="ar_AE" w:bidi="ar_AE"/>
          </w:rPr>
          <w:rPr>
            <w:color w:val="0000EE"/>
            <w:u w:val="single"/>
          </w:rPr>
          <w:t>11:14–40</w:t>
        </w:r>
      </w:hyperlink>
      <w:r>
        <w:rPr>
          <w:lang w:val="ar_AE" w:bidi="ar_AE"/>
        </w:rPr>
        <w:t>).</w:t>
      </w:r>
    </w:p>
    <w:p>
      <w:pPr>
        <w:bidi/>
      </w:pPr>
      <w:r>
        <w:rPr>
          <w:lang w:val="ar_AE" w:bidi="ar_AE"/>
        </w:rPr>
      </w:r>
      <w:r>
        <w:rPr>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6">
        <w:r>
          <w:rPr>
            <w:lang w:val="ar_AE" w:bidi="ar_AE"/>
          </w:rPr>
          <w:rPr>
            <w:color w:val="0000EE"/>
            <w:u w:val="single"/>
          </w:rPr>
          <w:t>3:5–15</w:t>
        </w:r>
      </w:hyperlink>
      <w:r>
        <w:rPr>
          <w:lang w:val="ar_AE" w:bidi="ar_AE"/>
        </w:rPr>
        <w:t>)، مما أدى إلى ازدهار كبير وكرامة (</w:t>
      </w:r>
      <w:hyperlink r:id="rId27">
        <w:r>
          <w:rPr>
            <w:lang w:val="ar_AE" w:bidi="ar_AE"/>
          </w:rPr>
          <w:rPr>
            <w:color w:val="0000EE"/>
            <w:u w:val="single"/>
          </w:rPr>
          <w:t>3:16–8:66</w:t>
        </w:r>
      </w:hyperlink>
      <w:r>
        <w:rPr>
          <w:lang w:val="ar_AE" w:bidi="ar_AE"/>
        </w:rPr>
        <w:t>). بعد أن أنهى سليمان بناء الهيكل والقصر، زاره الله مرة ثانية ليُذكِّره بأن نجاحه المستمر سيعتمد على الوفاء الروحي (</w:t>
      </w:r>
      <w:hyperlink r:id="rId28">
        <w:r>
          <w:rPr>
            <w:lang w:val="ar_AE" w:bidi="ar_AE"/>
          </w:rPr>
          <w:rPr>
            <w:color w:val="0000EE"/>
            <w:u w:val="single"/>
          </w:rPr>
          <w:t>9:1–9</w:t>
        </w:r>
      </w:hyperlink>
      <w:r>
        <w:rPr>
          <w:lang w:val="ar_AE" w:bidi="ar_AE"/>
        </w:rPr>
        <w:t>). مع ذلك، فإن شهرة سليمان الكبيرة (</w:t>
      </w:r>
      <w:hyperlink r:id="rId29">
        <w:r>
          <w:rPr>
            <w:lang w:val="ar_AE" w:bidi="ar_AE"/>
          </w:rPr>
          <w:rPr>
            <w:color w:val="0000EE"/>
            <w:u w:val="single"/>
          </w:rPr>
          <w:t>9:10–10:29</w:t>
        </w:r>
      </w:hyperlink>
      <w:r>
        <w:rPr>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0">
        <w:r>
          <w:rPr>
            <w:lang w:val="ar_AE" w:bidi="ar_AE"/>
          </w:rPr>
          <w:rPr>
            <w:color w:val="0000EE"/>
            <w:u w:val="single"/>
          </w:rPr>
          <w:t>11:1–8</w:t>
        </w:r>
      </w:hyperlink>
      <w:r>
        <w:rPr>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1">
        <w:r>
          <w:rPr>
            <w:lang w:val="ar_AE" w:bidi="ar_AE"/>
          </w:rPr>
          <w:rPr>
            <w:color w:val="0000EE"/>
            <w:u w:val="single"/>
          </w:rPr>
          <w:t>11:9–13</w:t>
        </w:r>
      </w:hyperlink>
      <w:r>
        <w:rPr>
          <w:lang w:val="ar_AE" w:bidi="ar_AE"/>
        </w:rPr>
        <w:t>).</w:t>
      </w:r>
    </w:p>
    <w:p>
      <w:pPr>
        <w:bidi/>
      </w:pPr>
      <w:r>
        <w:rPr>
          <w:lang w:val="ar_AE" w:bidi="ar_AE"/>
        </w:rPr>
      </w:r>
      <w:r>
        <w:rPr>
          <w:lang w:val="ar_AE" w:bidi="ar_AE"/>
        </w:rPr>
        <w:t>يُظهر القسم الثاني من السِفر (</w:t>
      </w:r>
      <w:hyperlink r:id="rId32">
        <w:r>
          <w:rPr>
            <w:lang w:val="ar_AE" w:bidi="ar_AE"/>
          </w:rPr>
          <w:rPr>
            <w:color w:val="0000EE"/>
            <w:u w:val="single"/>
          </w:rPr>
          <w:t>12:1–16:26</w:t>
        </w:r>
      </w:hyperlink>
      <w:r>
        <w:rPr>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3">
        <w:r>
          <w:rPr>
            <w:lang w:val="ar_AE" w:bidi="ar_AE"/>
          </w:rPr>
          <w:rPr>
            <w:color w:val="0000EE"/>
            <w:u w:val="single"/>
          </w:rPr>
          <w:t>12:1–24</w:t>
        </w:r>
      </w:hyperlink>
      <w:r>
        <w:rPr>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4">
        <w:r>
          <w:rPr>
            <w:lang w:val="ar_AE" w:bidi="ar_AE"/>
          </w:rPr>
          <w:rPr>
            <w:color w:val="0000EE"/>
            <w:u w:val="single"/>
          </w:rPr>
          <w:t>16:25–26</w:t>
        </w:r>
      </w:hyperlink>
      <w:r>
        <w:rPr>
          <w:lang w:val="ar_AE" w:bidi="ar_AE"/>
        </w:rPr>
        <w:t>).</w:t>
      </w:r>
    </w:p>
    <w:p>
      <w:pPr>
        <w:bidi/>
      </w:pPr>
      <w:r>
        <w:rPr>
          <w:lang w:val="ar_AE" w:bidi="ar_AE"/>
        </w:rPr>
      </w:r>
      <w:r>
        <w:rPr>
          <w:lang w:val="ar_AE" w:bidi="ar_AE"/>
        </w:rPr>
        <w:t>يُكرَّس القسم الأخير من 1 ملوك أساسًا لمُلك ابن عمري، أخآب (</w:t>
      </w:r>
      <w:hyperlink r:id="rId35">
        <w:r>
          <w:rPr>
            <w:lang w:val="ar_AE" w:bidi="ar_AE"/>
          </w:rPr>
          <w:rPr>
            <w:color w:val="0000EE"/>
            <w:u w:val="single"/>
          </w:rPr>
          <w:t>16:29–22:40</w:t>
        </w:r>
      </w:hyperlink>
      <w:r>
        <w:rPr>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6">
        <w:r>
          <w:rPr>
            <w:lang w:val="ar_AE" w:bidi="ar_AE"/>
          </w:rPr>
          <w:rPr>
            <w:color w:val="0000EE"/>
            <w:u w:val="single"/>
          </w:rPr>
          <w:t>17:1–18:46</w:t>
        </w:r>
      </w:hyperlink>
      <w:r>
        <w:rPr>
          <w:lang w:val="ar_AE" w:bidi="ar_AE"/>
        </w:rPr>
        <w:t>). ثم هرب إيليّا من غضب الملكة إيزابل، لكن ٱلله استردَّهُ وأعاد تكليفه، مع أليشع خليفته (</w:t>
      </w:r>
      <w:hyperlink r:id="rId37">
        <w:r>
          <w:rPr>
            <w:lang w:val="ar_AE" w:bidi="ar_AE"/>
          </w:rPr>
          <w:rPr>
            <w:color w:val="0000EE"/>
            <w:u w:val="single"/>
          </w:rPr>
          <w:t>19:1–21</w:t>
        </w:r>
      </w:hyperlink>
      <w:r>
        <w:rPr>
          <w:lang w:val="ar_AE" w:bidi="ar_AE"/>
        </w:rPr>
        <w:t>).</w:t>
      </w:r>
    </w:p>
    <w:p>
      <w:pPr>
        <w:bidi/>
      </w:pPr>
      <w:r>
        <w:rPr>
          <w:lang w:val="ar_AE" w:bidi="ar_AE"/>
        </w:rPr>
      </w:r>
      <w:r>
        <w:rPr>
          <w:lang w:val="ar_AE" w:bidi="ar_AE"/>
        </w:rPr>
        <w:t>على الصعيد السياسي، واجه الملِك أخآب تحديات متكررة من الملك الآرامي بنهدد، الذي خاض ضده أخآب ثلاث حملات (</w:t>
      </w:r>
      <w:hyperlink r:id="rId38">
        <w:r>
          <w:rPr>
            <w:lang w:val="ar_AE" w:bidi="ar_AE"/>
          </w:rPr>
          <w:rPr>
            <w:color w:val="0000EE"/>
            <w:u w:val="single"/>
          </w:rPr>
          <w:t>20:1–25</w:t>
        </w:r>
      </w:hyperlink>
      <w:r>
        <w:rPr>
          <w:lang w:val="ar_AE" w:bidi="ar_AE"/>
        </w:rPr>
        <w:t xml:space="preserve">، </w:t>
      </w:r>
      <w:hyperlink r:id="rId39">
        <w:r>
          <w:rPr>
            <w:lang w:val="ar_AE" w:bidi="ar_AE"/>
          </w:rPr>
          <w:rPr>
            <w:color w:val="0000EE"/>
            <w:u w:val="single"/>
          </w:rPr>
          <w:t>26–43</w:t>
        </w:r>
      </w:hyperlink>
      <w:r>
        <w:rPr>
          <w:lang w:val="ar_AE" w:bidi="ar_AE"/>
        </w:rPr>
        <w:t xml:space="preserve">؛ </w:t>
      </w:r>
      <w:hyperlink r:id="rId40">
        <w:r>
          <w:rPr>
            <w:lang w:val="ar_AE" w:bidi="ar_AE"/>
          </w:rPr>
          <w:rPr>
            <w:color w:val="0000EE"/>
            <w:u w:val="single"/>
          </w:rPr>
          <w:t>22:1–40</w:t>
        </w:r>
      </w:hyperlink>
      <w:r>
        <w:rPr>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1">
        <w:r>
          <w:rPr>
            <w:lang w:val="ar_AE" w:bidi="ar_AE"/>
          </w:rPr>
          <w:rPr>
            <w:color w:val="0000EE"/>
            <w:u w:val="single"/>
          </w:rPr>
          <w:t>21:1–29</w:t>
        </w:r>
      </w:hyperlink>
      <w:r>
        <w:rPr>
          <w:lang w:val="ar_AE" w:bidi="ar_AE"/>
        </w:rPr>
        <w:t>).</w:t>
      </w:r>
    </w:p>
    <w:p>
      <w:pPr>
        <w:bidi/>
      </w:pPr>
      <w:r>
        <w:rPr>
          <w:lang w:val="ar_AE" w:bidi="ar_AE"/>
        </w:rPr>
      </w:r>
      <w:r>
        <w:rPr>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2">
        <w:r>
          <w:rPr>
            <w:lang w:val="ar_AE" w:bidi="ar_AE"/>
          </w:rPr>
          <w:rPr>
            <w:color w:val="0000EE"/>
            <w:u w:val="single"/>
          </w:rPr>
          <w:t>20:22</w:t>
        </w:r>
      </w:hyperlink>
      <w:r>
        <w:rPr>
          <w:lang w:val="ar_AE" w:bidi="ar_AE"/>
        </w:rPr>
        <w:t>) ثم وبَّخه (</w:t>
      </w:r>
      <w:hyperlink r:id="rId43">
        <w:r>
          <w:rPr>
            <w:lang w:val="ar_AE" w:bidi="ar_AE"/>
          </w:rPr>
          <w:rPr>
            <w:color w:val="0000EE"/>
            <w:u w:val="single"/>
          </w:rPr>
          <w:t>20:35–43</w:t>
        </w:r>
      </w:hyperlink>
      <w:r>
        <w:rPr>
          <w:lang w:val="ar_AE" w:bidi="ar_AE"/>
        </w:rPr>
        <w:t>). لاحقًا، انتقد النبي إيليا استيلاء أخآب على كرم نابوت (</w:t>
      </w:r>
      <w:hyperlink r:id="rId41">
        <w:r>
          <w:rPr>
            <w:lang w:val="ar_AE" w:bidi="ar_AE"/>
          </w:rPr>
          <w:rPr>
            <w:color w:val="0000EE"/>
            <w:u w:val="single"/>
          </w:rPr>
          <w:t>21:1–29</w:t>
        </w:r>
      </w:hyperlink>
      <w:r>
        <w:rPr>
          <w:lang w:val="ar_AE" w:bidi="ar_AE"/>
        </w:rPr>
        <w:t>). ثم، قبل معركة أخآب الثالثة ضد الآراميين، حذَّر النبي ميخا من موت أخآب الوشيك (</w:t>
      </w:r>
      <w:hyperlink r:id="rId44">
        <w:r>
          <w:rPr>
            <w:lang w:val="ar_AE" w:bidi="ar_AE"/>
          </w:rPr>
          <w:rPr>
            <w:color w:val="0000EE"/>
            <w:u w:val="single"/>
          </w:rPr>
          <w:t>22:5–28</w:t>
        </w:r>
      </w:hyperlink>
      <w:r>
        <w:rPr>
          <w:lang w:val="ar_AE" w:bidi="ar_AE"/>
        </w:rPr>
        <w:t>).</w:t>
      </w:r>
    </w:p>
    <w:p>
      <w:pPr>
        <w:bidi/>
      </w:pPr>
      <w:r>
        <w:rPr>
          <w:lang w:val="ar_AE" w:bidi="ar_AE"/>
        </w:rPr>
      </w:r>
      <w:r>
        <w:rPr>
          <w:lang w:val="ar_AE" w:bidi="ar_AE"/>
        </w:rPr>
        <w:t>يُختتَم سفر الملوك الأول بكلمة موجزة عن شخصية وحكم ملِك يهوذا يهوشافاط (</w:t>
      </w:r>
      <w:hyperlink r:id="rId45">
        <w:r>
          <w:rPr>
            <w:lang w:val="ar_AE" w:bidi="ar_AE"/>
          </w:rPr>
          <w:rPr>
            <w:color w:val="0000EE"/>
            <w:u w:val="single"/>
          </w:rPr>
          <w:t>22:41–50</w:t>
        </w:r>
      </w:hyperlink>
      <w:r>
        <w:rPr>
          <w:lang w:val="ar_AE" w:bidi="ar_AE"/>
        </w:rPr>
        <w:t>) ويقدم خليفة أخآب، أخَزْيا (</w:t>
      </w:r>
      <w:hyperlink r:id="rId46">
        <w:r>
          <w:rPr>
            <w:lang w:val="ar_AE" w:bidi="ar_AE"/>
          </w:rPr>
          <w:rPr>
            <w:color w:val="0000EE"/>
            <w:u w:val="single"/>
          </w:rPr>
          <w:t>22:51–53</w:t>
        </w:r>
      </w:hyperlink>
      <w:r>
        <w:rPr>
          <w:lang w:val="ar_AE" w:bidi="ar_AE"/>
        </w:rPr>
        <w:t>)، الذي تبدأ قصته في الملوك الثاني.</w:t>
      </w:r>
    </w:p>
    <w:p>
      <w:pPr>
        <w:pStyle w:val="Heading2"/>
        <w:bidi/>
      </w:pPr>
      <w:r>
        <w:rPr>
          <w:lang w:val="ar_AE" w:bidi="ar_AE"/>
        </w:rPr>
        <w:t>كاتِب وإنشاء السِفر</w:t>
      </w:r>
    </w:p>
    <w:p>
      <w:pPr>
        <w:bidi/>
      </w:pPr>
      <w:r>
        <w:rPr>
          <w:lang w:val="ar_AE" w:bidi="ar_AE"/>
        </w:rPr>
      </w:r>
      <w:r>
        <w:rPr>
          <w:lang w:val="ar_AE" w:bidi="ar_AE"/>
        </w:rPr>
        <w:t>يعكس سِفرا 1–2 ملوك منظورًا متَّسقًا لكاتِب مجهول الهوية، والذي تحدده التقاليد اليهودية بأنه إرميا (</w:t>
      </w:r>
      <w:r>
        <w:rPr>
          <w:i/>
          <w:lang w:val="ar_AE" w:bidi="ar_AE"/>
        </w:rPr>
        <w:t>بابا باترا</w:t>
      </w:r>
      <w:r>
        <w:rPr>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lang w:val="ar_AE" w:bidi="ar_AE"/>
        </w:rPr>
      </w:r>
      <w:r>
        <w:rPr>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7">
        <w:r>
          <w:rPr>
            <w:lang w:val="ar_AE" w:bidi="ar_AE"/>
          </w:rPr>
          <w:rPr>
            <w:color w:val="0000EE"/>
            <w:u w:val="single"/>
          </w:rPr>
          <w:t>2 ملوك 25:27–30</w:t>
        </w:r>
      </w:hyperlink>
      <w:r>
        <w:rPr>
          <w:lang w:val="ar_AE" w:bidi="ar_AE"/>
        </w:rPr>
        <w:t xml:space="preserve">؛ قارن </w:t>
      </w:r>
      <w:hyperlink r:id="rId48">
        <w:r>
          <w:rPr>
            <w:lang w:val="ar_AE" w:bidi="ar_AE"/>
          </w:rPr>
          <w:rPr>
            <w:color w:val="0000EE"/>
            <w:u w:val="single"/>
          </w:rPr>
          <w:t>إرميا 52:31–34</w:t>
        </w:r>
      </w:hyperlink>
      <w:r>
        <w:rPr>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lang w:val="ar_AE" w:bidi="ar_AE"/>
        </w:rPr>
      </w:r>
      <w:r>
        <w:rPr>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التاريخ</w:t>
      </w:r>
    </w:p>
    <w:p>
      <w:pPr>
        <w:bidi/>
      </w:pPr>
      <w:r>
        <w:rPr>
          <w:lang w:val="ar_AE" w:bidi="ar_AE"/>
        </w:rPr>
      </w:r>
      <w:r>
        <w:rPr>
          <w:lang w:val="ar_AE" w:bidi="ar_AE"/>
        </w:rPr>
        <w:t>بما أن 2 ملوك يسجل سقوط أورشليم في عام 586 قبل الميلاد (</w:t>
      </w:r>
      <w:hyperlink r:id="rId49">
        <w:r>
          <w:rPr>
            <w:lang w:val="ar_AE" w:bidi="ar_AE"/>
          </w:rPr>
          <w:rPr>
            <w:color w:val="0000EE"/>
            <w:u w:val="single"/>
          </w:rPr>
          <w:t>2 ملوك 24:18–25:21</w:t>
        </w:r>
      </w:hyperlink>
      <w:r>
        <w:rPr>
          <w:lang w:val="ar_AE" w:bidi="ar_AE"/>
        </w:rPr>
        <w:t>)، يجب أن يكون إنشاء 1–2 ملوك قد اكتمل بعد هذا التاريخ.</w:t>
      </w:r>
    </w:p>
    <w:p>
      <w:pPr>
        <w:bidi/>
      </w:pPr>
      <w:r>
        <w:rPr>
          <w:lang w:val="ar_AE" w:bidi="ar_AE"/>
        </w:rPr>
      </w:r>
      <w:r>
        <w:rPr>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0">
        <w:r>
          <w:rPr>
            <w:lang w:val="ar_AE" w:bidi="ar_AE"/>
          </w:rPr>
          <w:rPr>
            <w:color w:val="0000EE"/>
            <w:u w:val="single"/>
          </w:rPr>
          <w:t>2 صموئيل 5:4–5</w:t>
        </w:r>
      </w:hyperlink>
      <w:r>
        <w:rPr>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7">
        <w:r>
          <w:rPr>
            <w:lang w:val="ar_AE" w:bidi="ar_AE"/>
          </w:rPr>
          <w:rPr>
            <w:color w:val="0000EE"/>
            <w:u w:val="single"/>
          </w:rPr>
          <w:t>2 ملوك 25:27–30</w:t>
        </w:r>
      </w:hyperlink>
      <w:r>
        <w:rPr>
          <w:lang w:val="ar_AE" w:bidi="ar_AE"/>
        </w:rPr>
        <w:t>) بعد فترة وجيزة من وفاة نبوخذنصّر الثاني في 562 قبل الميلاد.</w:t>
      </w:r>
    </w:p>
    <w:p>
      <w:pPr>
        <w:pStyle w:val="Heading2"/>
        <w:bidi/>
      </w:pPr>
      <w:r>
        <w:rPr>
          <w:lang w:val="ar_AE" w:bidi="ar_AE"/>
        </w:rPr>
        <w:t>الجدول الزمني</w:t>
      </w:r>
    </w:p>
    <w:p>
      <w:pPr>
        <w:bidi/>
      </w:pPr>
      <w:r>
        <w:rPr>
          <w:lang w:val="ar_AE" w:bidi="ar_AE"/>
        </w:rPr>
      </w:r>
      <w:r>
        <w:rPr>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lang w:val="ar_AE" w:bidi="ar_AE"/>
        </w:rPr>
        <w:t>المعنى والرسالة</w:t>
      </w:r>
    </w:p>
    <w:p>
      <w:pPr>
        <w:bidi/>
      </w:pPr>
      <w:r>
        <w:rPr>
          <w:lang w:val="ar_AE" w:bidi="ar_AE"/>
        </w:rPr>
      </w:r>
      <w:r>
        <w:rPr>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1">
        <w:r>
          <w:rPr>
            <w:lang w:val="ar_AE" w:bidi="ar_AE"/>
          </w:rPr>
          <w:rPr>
            <w:color w:val="0000EE"/>
            <w:u w:val="single"/>
          </w:rPr>
          <w:t>2 صم 7:12–16؛</w:t>
        </w:r>
      </w:hyperlink>
      <w:r>
        <w:rPr>
          <w:lang w:val="ar_AE" w:bidi="ar_AE"/>
        </w:rPr>
        <w:t xml:space="preserve"> </w:t>
      </w:r>
      <w:hyperlink r:id="rId52">
        <w:r>
          <w:rPr>
            <w:lang w:val="ar_AE" w:bidi="ar_AE"/>
          </w:rPr>
          <w:rPr>
            <w:color w:val="0000EE"/>
            <w:u w:val="single"/>
          </w:rPr>
          <w:t>مز 89:20–37</w:t>
        </w:r>
      </w:hyperlink>
      <w:r>
        <w:rPr>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lang w:val="ar_AE" w:bidi="ar_AE"/>
        </w:rPr>
      </w:r>
      <w:r>
        <w:rPr>
          <w:lang w:val="ar_AE" w:bidi="ar_AE"/>
        </w:rPr>
        <w:t>يؤكد سِفر الملوك الأول على دور أنبياء الله في تقديم النصيحة والتوبيخ والتحذير للملوك. بينما يُخصَص اهتمامًا خاصًا لخدمة إيليا (</w:t>
      </w:r>
      <w:hyperlink r:id="rId53">
        <w:r>
          <w:rPr>
            <w:lang w:val="ar_AE" w:bidi="ar_AE"/>
          </w:rPr>
          <w:rPr>
            <w:color w:val="0000EE"/>
            <w:u w:val="single"/>
          </w:rPr>
          <w:t>1 ملوك 17:1–19:21؛</w:t>
        </w:r>
      </w:hyperlink>
      <w:r>
        <w:rPr>
          <w:lang w:val="ar_AE" w:bidi="ar_AE"/>
        </w:rPr>
        <w:t xml:space="preserve"> </w:t>
      </w:r>
      <w:hyperlink r:id="rId41">
        <w:r>
          <w:rPr>
            <w:lang w:val="ar_AE" w:bidi="ar_AE"/>
          </w:rPr>
          <w:rPr>
            <w:color w:val="0000EE"/>
            <w:u w:val="single"/>
          </w:rPr>
          <w:t>21:1–29</w:t>
        </w:r>
      </w:hyperlink>
      <w:r>
        <w:rPr>
          <w:lang w:val="ar_AE" w:bidi="ar_AE"/>
        </w:rPr>
        <w:t>)، يعمل الله أيضًا من خلال أنبياء آخرين للمطالبة بولاء شعبه.</w:t>
      </w:r>
    </w:p>
    <w:p>
      <w:pPr>
        <w:bidi/>
      </w:pPr>
      <w:r>
        <w:rPr>
          <w:lang w:val="ar_AE" w:bidi="ar_AE"/>
        </w:rPr>
      </w:r>
      <w:r>
        <w:rPr>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4">
        <w:r>
          <w:rPr>
            <w:lang w:val="ar_AE" w:bidi="ar_AE"/>
          </w:rPr>
          <w:rPr>
            <w:color w:val="0000EE"/>
            <w:u w:val="single"/>
          </w:rPr>
          <w:t>1 يو 5:21</w:t>
        </w:r>
      </w:hyperlink>
      <w:r>
        <w:rPr>
          <w:lang w:val="ar_AE" w:bidi="ar_AE"/>
        </w:rPr>
        <w:t>). مثل أنبياء العصور القديمة، يجب على خُدام ٱلله اليوم إعلان ضرورة عبادة ٱلله وحده.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