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hyperlink r:id="rId13">
        <w:r>
          <w:rPr>
            <w:lang w:val="fr_FR" w:bidi="fr_FR"/>
          </w:rPr>
          <w:rPr>
            <w:color w:val="0000EE"/>
            <w:u w:val="single"/>
          </w:rPr>
          <w:t>1S 16.1–13</w:t>
        </w:r>
      </w:hyperlink>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hyperlink r:id="rId14">
        <w:r>
          <w:rPr>
            <w:lang w:val="fr_FR" w:bidi="fr_FR"/>
          </w:rPr>
          <w:rPr>
            <w:color w:val="0000EE"/>
            <w:u w:val="single"/>
          </w:rPr>
          <w:t>2S 5.17–25</w:t>
        </w:r>
      </w:hyperlink>
      <w:r>
        <w:rPr>
          <w:lang w:val="fr_FR" w:bidi="fr_FR"/>
        </w:rPr>
        <w:t xml:space="preserve"> ; </w:t>
      </w:r>
      <w:hyperlink r:id="rId15">
        <w:r>
          <w:rPr>
            <w:lang w:val="fr_FR" w:bidi="fr_FR"/>
          </w:rPr>
          <w:rPr>
            <w:color w:val="0000EE"/>
            <w:u w:val="single"/>
          </w:rPr>
          <w:t>21.15–22</w:t>
        </w:r>
      </w:hyperlink>
      <w:r>
        <w:rPr>
          <w:lang w:val="fr_FR" w:bidi="fr_FR"/>
        </w:rPr>
        <w:t xml:space="preserve"> ; </w:t>
      </w:r>
      <w:hyperlink r:id="rId16">
        <w:r>
          <w:rPr>
            <w:lang w:val="fr_FR" w:bidi="fr_FR"/>
          </w:rPr>
          <w:rPr>
            <w:color w:val="0000EE"/>
            <w:u w:val="single"/>
          </w:rPr>
          <w:t>23.9–17</w:t>
        </w:r>
      </w:hyperlink>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hyperlink r:id="rId17">
        <w:r>
          <w:rPr>
            <w:lang w:val="fr_FR" w:bidi="fr_FR"/>
          </w:rPr>
          <w:rPr>
            <w:color w:val="0000EE"/>
            <w:u w:val="single"/>
          </w:rPr>
          <w:t>1.1–27</w:t>
        </w:r>
      </w:hyperlink>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hyperlink r:id="rId18">
        <w:r>
          <w:rPr>
            <w:lang w:val="fr_FR" w:bidi="fr_FR"/>
          </w:rPr>
          <w:rPr>
            <w:color w:val="0000EE"/>
            <w:u w:val="single"/>
          </w:rPr>
          <w:t>3.22–4.12</w:t>
        </w:r>
      </w:hyperlink>
      <w:r>
        <w:rPr>
          <w:lang w:val="fr_FR" w:bidi="fr_FR"/>
        </w:rPr>
        <w:t>). Après la mort d'Isch-Boscheth, les chefs des tribus du Nord jurent fidélité à David. Il déplace alors immédiatement sa capitale d'Hébron à Jérusalem, ville plus centrale, en en chassant ses habitants, les Jébusiens (</w:t>
      </w:r>
      <w:hyperlink r:id="rId19">
        <w:r>
          <w:rPr>
            <w:lang w:val="fr_FR" w:bidi="fr_FR"/>
          </w:rPr>
          <w:rPr>
            <w:color w:val="0000EE"/>
            <w:u w:val="single"/>
          </w:rPr>
          <w:t>5.6–16</w:t>
        </w:r>
      </w:hyperlink>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hyperlink r:id="rId20">
        <w:r>
          <w:rPr>
            <w:lang w:val="fr_FR" w:bidi="fr_FR"/>
          </w:rPr>
          <w:rPr>
            <w:color w:val="0000EE"/>
            <w:u w:val="single"/>
          </w:rPr>
          <w:t>6.1–15</w:t>
        </w:r>
      </w:hyperlink>
      <w:r>
        <w:rPr>
          <w:lang w:val="fr_FR" w:bidi="fr_FR"/>
        </w:rPr>
        <w:t>). Peu après, Dieu établit une alliance éternelle avec David et ses descendants (</w:t>
      </w:r>
      <w:hyperlink r:id="rId21">
        <w:r>
          <w:rPr>
            <w:lang w:val="fr_FR" w:bidi="fr_FR"/>
          </w:rPr>
          <w:rPr>
            <w:color w:val="0000EE"/>
            <w:u w:val="single"/>
          </w:rPr>
          <w:t>7.1–29</w:t>
        </w:r>
      </w:hyperlink>
      <w:r>
        <w:rPr>
          <w:lang w:val="fr_FR" w:bidi="fr_FR"/>
        </w:rPr>
        <w:t>). Au cours de ces premières années, il connaît le succès de tous côtés (</w:t>
      </w:r>
      <w:hyperlink r:id="rId22">
        <w:r>
          <w:rPr>
            <w:lang w:val="fr_FR" w:bidi="fr_FR"/>
          </w:rPr>
          <w:rPr>
            <w:color w:val="0000EE"/>
            <w:u w:val="single"/>
          </w:rPr>
          <w:t>8.1–18</w:t>
        </w:r>
      </w:hyperlink>
      <w:r>
        <w:rPr>
          <w:lang w:val="fr_FR" w:bidi="fr_FR"/>
        </w:rPr>
        <w:t xml:space="preserve"> ; </w:t>
      </w:r>
      <w:hyperlink r:id="rId23">
        <w:r>
          <w:rPr>
            <w:lang w:val="fr_FR" w:bidi="fr_FR"/>
          </w:rPr>
          <w:rPr>
            <w:color w:val="0000EE"/>
            <w:u w:val="single"/>
          </w:rPr>
          <w:t>10.1–19</w:t>
        </w:r>
      </w:hyperlink>
      <w:r>
        <w:rPr>
          <w:lang w:val="fr_FR" w:bidi="fr_FR"/>
        </w:rPr>
        <w:t>) et accomplit son vœu de traiter les descendants de Saül et de Jonathan avec bienveillance (</w:t>
      </w:r>
      <w:hyperlink r:id="rId24">
        <w:r>
          <w:rPr>
            <w:lang w:val="fr_FR" w:bidi="fr_FR"/>
          </w:rPr>
          <w:rPr>
            <w:color w:val="0000EE"/>
            <w:u w:val="single"/>
          </w:rPr>
          <w:t>9.1–13</w:t>
        </w:r>
      </w:hyperlink>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hyperlink r:id="rId25">
        <w:r>
          <w:rPr>
            <w:lang w:val="fr_FR" w:bidi="fr_FR"/>
          </w:rPr>
          <w:rPr>
            <w:color w:val="0000EE"/>
            <w:u w:val="single"/>
          </w:rPr>
          <w:t>11.1–5</w:t>
        </w:r>
      </w:hyperlink>
      <w:r>
        <w:rPr>
          <w:lang w:val="fr_FR" w:bidi="fr_FR"/>
        </w:rPr>
        <w:t>). Elle tombe enceinte de lui, et il prend des dispositions pour faire assassiner son mari (</w:t>
      </w:r>
      <w:hyperlink r:id="rId26">
        <w:r>
          <w:rPr>
            <w:lang w:val="fr_FR" w:bidi="fr_FR"/>
          </w:rPr>
          <w:rPr>
            <w:color w:val="0000EE"/>
            <w:u w:val="single"/>
          </w:rPr>
          <w:t>11.6–27</w:t>
        </w:r>
      </w:hyperlink>
      <w:r>
        <w:rPr>
          <w:lang w:val="fr_FR" w:bidi="fr_FR"/>
        </w:rPr>
        <w:t>). Les actions de David provoquent la colère de Dieu, qui le châtie (</w:t>
      </w:r>
      <w:hyperlink r:id="rId27">
        <w:r>
          <w:rPr>
            <w:lang w:val="fr_FR" w:bidi="fr_FR"/>
          </w:rPr>
          <w:rPr>
            <w:color w:val="0000EE"/>
            <w:u w:val="single"/>
          </w:rPr>
          <w:t>12.1–12</w:t>
        </w:r>
      </w:hyperlink>
      <w:r>
        <w:rPr>
          <w:lang w:val="fr_FR" w:bidi="fr_FR"/>
        </w:rPr>
        <w:t>). Bien que David se repente et fasse l'expérience du pardon de Dieu, l'enfant qui naît de l'adultère meurt (</w:t>
      </w:r>
      <w:hyperlink r:id="rId28">
        <w:r>
          <w:rPr>
            <w:lang w:val="fr_FR" w:bidi="fr_FR"/>
          </w:rPr>
          <w:rPr>
            <w:color w:val="0000EE"/>
            <w:u w:val="single"/>
          </w:rPr>
          <w:t>12.13–23</w:t>
        </w:r>
      </w:hyperlink>
      <w:r>
        <w:rPr>
          <w:lang w:val="fr_FR" w:bidi="fr_FR"/>
        </w:rPr>
        <w:t>). David demeure néanmoins le roi élu de Dieu (</w:t>
      </w:r>
      <w:hyperlink r:id="rId29">
        <w:r>
          <w:rPr>
            <w:lang w:val="fr_FR" w:bidi="fr_FR"/>
          </w:rPr>
          <w:rPr>
            <w:color w:val="0000EE"/>
            <w:u w:val="single"/>
          </w:rPr>
          <w:t>12.24–31</w:t>
        </w:r>
      </w:hyperlink>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hyperlink r:id="rId30">
        <w:r>
          <w:rPr>
            <w:lang w:val="fr_FR" w:bidi="fr_FR"/>
          </w:rPr>
          <w:rPr>
            <w:color w:val="0000EE"/>
            <w:u w:val="single"/>
          </w:rPr>
          <w:t>13.1–39</w:t>
        </w:r>
      </w:hyperlink>
      <w:r>
        <w:rPr>
          <w:lang w:val="fr_FR" w:bidi="fr_FR"/>
        </w:rPr>
        <w:t>). Plus tard, Absalom essaie de renverser son père et de le remplacer, mais il est tué dans les événements qui s'ensuivent (</w:t>
      </w:r>
      <w:hyperlink r:id="rId31">
        <w:r>
          <w:rPr>
            <w:lang w:val="fr_FR" w:bidi="fr_FR"/>
          </w:rPr>
          <w:rPr>
            <w:color w:val="0000EE"/>
            <w:u w:val="single"/>
          </w:rPr>
          <w:t>14.1–19.43</w:t>
        </w:r>
      </w:hyperlink>
      <w:r>
        <w:rPr>
          <w:lang w:val="fr_FR" w:bidi="fr_FR"/>
        </w:rPr>
        <w:t>). Schéba, un Benjamite, mène également une révolte contre David, mais est vaincu puis exécuté (</w:t>
      </w:r>
      <w:hyperlink r:id="rId32">
        <w:r>
          <w:rPr>
            <w:lang w:val="fr_FR" w:bidi="fr_FR"/>
          </w:rPr>
          <w:rPr>
            <w:color w:val="0000EE"/>
            <w:u w:val="single"/>
          </w:rPr>
          <w:t>20.1–26</w:t>
        </w:r>
      </w:hyperlink>
      <w:r>
        <w:rPr>
          <w:lang w:val="fr_FR" w:bidi="fr_FR"/>
        </w:rPr>
        <w:t>).</w:t>
      </w:r>
    </w:p>
    <w:p>
      <w:pPr/>
      <w:r>
        <w:rPr>
          <w:lang w:val="fr_FR" w:bidi="fr_FR"/>
        </w:rPr>
      </w:r>
      <w:r>
        <w:rPr>
          <w:lang w:val="fr_FR" w:bidi="fr_FR"/>
        </w:rPr>
        <w:t>En tant que souverain, David agit à deux reprises pour apaiser la colère de Dieu à l'égard de la nation (</w:t>
      </w:r>
      <w:hyperlink r:id="rId33">
        <w:r>
          <w:rPr>
            <w:lang w:val="fr_FR" w:bidi="fr_FR"/>
          </w:rPr>
          <w:rPr>
            <w:color w:val="0000EE"/>
            <w:u w:val="single"/>
          </w:rPr>
          <w:t>21.1–22</w:t>
        </w:r>
      </w:hyperlink>
      <w:r>
        <w:rPr>
          <w:lang w:val="fr_FR" w:bidi="fr_FR"/>
        </w:rPr>
        <w:t xml:space="preserve"> ; </w:t>
      </w:r>
      <w:hyperlink r:id="rId34">
        <w:r>
          <w:rPr>
            <w:lang w:val="fr_FR" w:bidi="fr_FR"/>
          </w:rPr>
          <w:rPr>
            <w:color w:val="0000EE"/>
            <w:u w:val="single"/>
          </w:rPr>
          <w:t>24.1–25</w:t>
        </w:r>
      </w:hyperlink>
      <w:r>
        <w:rPr>
          <w:lang w:val="fr_FR" w:bidi="fr_FR"/>
        </w:rPr>
        <w:t>). Dans le deuxième cas, David bâtit un autel à Jérusalem (</w:t>
      </w:r>
      <w:hyperlink r:id="rId35">
        <w:r>
          <w:rPr>
            <w:lang w:val="fr_FR" w:bidi="fr_FR"/>
          </w:rPr>
          <w:rPr>
            <w:color w:val="0000EE"/>
            <w:u w:val="single"/>
          </w:rPr>
          <w:t>24.18–25</w:t>
        </w:r>
      </w:hyperlink>
      <w:r>
        <w:rPr>
          <w:lang w:val="fr_FR" w:bidi="fr_FR"/>
        </w:rPr>
        <w:t xml:space="preserve">) sur ce qui deviendra le site du Temple (voir </w:t>
      </w:r>
      <w:hyperlink r:id="rId36">
        <w:r>
          <w:rPr>
            <w:lang w:val="fr_FR" w:bidi="fr_FR"/>
          </w:rPr>
          <w:rPr>
            <w:color w:val="0000EE"/>
            <w:u w:val="single"/>
          </w:rPr>
          <w:t>1Ch 21.18–22.1</w:t>
        </w:r>
      </w:hyperlink>
      <w:r>
        <w:rPr>
          <w:lang w:val="fr_FR" w:bidi="fr_FR"/>
        </w:rPr>
        <w:t>). Entre ces deux épisodes se trouvent des passages célébrant la puissance de Dieu telle que manifestée à travers David, ainsi que des descriptions de la loyauté et de l'héroïsme des « vaillants hommes », guerriers du roi (</w:t>
      </w:r>
      <w:hyperlink r:id="rId37">
        <w:r>
          <w:rPr>
            <w:lang w:val="fr_FR" w:bidi="fr_FR"/>
          </w:rPr>
          <w:rPr>
            <w:color w:val="0000EE"/>
            <w:u w:val="single"/>
          </w:rPr>
          <w:t>22.1–23.39</w:t>
        </w:r>
      </w:hyperlink>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hyperlink r:id="rId38">
        <w:r>
          <w:rPr>
            <w:lang w:val="fr_FR" w:bidi="fr_FR"/>
          </w:rPr>
          <w:rPr>
            <w:color w:val="0000EE"/>
            <w:u w:val="single"/>
          </w:rPr>
          <w:t>1.1–15</w:t>
        </w:r>
      </w:hyperlink>
      <w:r>
        <w:rPr>
          <w:lang w:val="fr_FR" w:bidi="fr_FR"/>
        </w:rPr>
        <w:t xml:space="preserve"> ; Abner, </w:t>
      </w:r>
      <w:hyperlink r:id="rId39">
        <w:r>
          <w:rPr>
            <w:lang w:val="fr_FR" w:bidi="fr_FR"/>
          </w:rPr>
          <w:rPr>
            <w:color w:val="0000EE"/>
            <w:u w:val="single"/>
          </w:rPr>
          <w:t>3.30</w:t>
        </w:r>
      </w:hyperlink>
      <w:r>
        <w:rPr>
          <w:lang w:val="fr_FR" w:bidi="fr_FR"/>
        </w:rPr>
        <w:t xml:space="preserve"> ; Isch-Bascheth, </w:t>
      </w:r>
      <w:hyperlink r:id="rId40">
        <w:r>
          <w:rPr>
            <w:lang w:val="fr_FR" w:bidi="fr_FR"/>
          </w:rPr>
          <w:rPr>
            <w:color w:val="0000EE"/>
            <w:u w:val="single"/>
          </w:rPr>
          <w:t>4.6–8</w:t>
        </w:r>
      </w:hyperlink>
      <w:r>
        <w:rPr>
          <w:lang w:val="fr_FR" w:bidi="fr_FR"/>
        </w:rPr>
        <w:t xml:space="preserve"> ; Absalom, </w:t>
      </w:r>
      <w:hyperlink r:id="rId41">
        <w:r>
          <w:rPr>
            <w:lang w:val="fr_FR" w:bidi="fr_FR"/>
          </w:rPr>
          <w:rPr>
            <w:color w:val="0000EE"/>
            <w:u w:val="single"/>
          </w:rPr>
          <w:t>18.14–15</w:t>
        </w:r>
      </w:hyperlink>
      <w:r>
        <w:rPr>
          <w:lang w:val="fr_FR" w:bidi="fr_FR"/>
        </w:rPr>
        <w:t xml:space="preserve"> ; d'autres descendants mâles de Saül, </w:t>
      </w:r>
      <w:hyperlink r:id="rId42">
        <w:r>
          <w:rPr>
            <w:lang w:val="fr_FR" w:bidi="fr_FR"/>
          </w:rPr>
          <w:rPr>
            <w:color w:val="0000EE"/>
            <w:u w:val="single"/>
          </w:rPr>
          <w:t>21.8–9</w:t>
        </w:r>
      </w:hyperlink>
      <w:r>
        <w:rPr>
          <w:lang w:val="fr_FR" w:bidi="fr_FR"/>
        </w:rPr>
        <w:t xml:space="preserve"> ; Amasa, </w:t>
      </w:r>
      <w:hyperlink r:id="rId43">
        <w:r>
          <w:rPr>
            <w:lang w:val="fr_FR" w:bidi="fr_FR"/>
          </w:rPr>
          <w:rPr>
            <w:color w:val="0000EE"/>
            <w:u w:val="single"/>
          </w:rPr>
          <w:t>20.10</w:t>
        </w:r>
      </w:hyperlink>
      <w:r>
        <w:rPr>
          <w:lang w:val="fr_FR" w:bidi="fr_FR"/>
        </w:rPr>
        <w:t xml:space="preserve"> ; Schéba, </w:t>
      </w:r>
      <w:hyperlink r:id="rId44">
        <w:r>
          <w:rPr>
            <w:lang w:val="fr_FR" w:bidi="fr_FR"/>
          </w:rPr>
          <w:rPr>
            <w:color w:val="0000EE"/>
            <w:u w:val="single"/>
          </w:rPr>
          <w:t>20.21–22</w:t>
        </w:r>
      </w:hyperlink>
      <w:r>
        <w:rPr>
          <w:lang w:val="fr_FR" w:bidi="fr_FR"/>
        </w:rPr>
        <w:t xml:space="preserve">). Cependant, le narrateur prend soin de montrer que David n'en est pas responsable. En dépit des affirmations de certains (voir </w:t>
      </w:r>
      <w:hyperlink r:id="rId45">
        <w:r>
          <w:rPr>
            <w:lang w:val="fr_FR" w:bidi="fr_FR"/>
          </w:rPr>
          <w:rPr>
            <w:color w:val="0000EE"/>
            <w:u w:val="single"/>
          </w:rPr>
          <w:t>16.5–8</w:t>
        </w:r>
      </w:hyperlink>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hyperlink r:id="rId46">
        <w:r>
          <w:rPr>
            <w:lang w:val="fr_FR" w:bidi="fr_FR"/>
          </w:rPr>
          <w:rPr>
            <w:color w:val="0000EE"/>
            <w:u w:val="single"/>
          </w:rPr>
          <w:t>1.1–16</w:t>
        </w:r>
      </w:hyperlink>
      <w:r>
        <w:rPr>
          <w:lang w:val="fr_FR" w:bidi="fr_FR"/>
        </w:rPr>
        <w:t xml:space="preserve"> ; </w:t>
      </w:r>
      <w:hyperlink r:id="rId47">
        <w:r>
          <w:rPr>
            <w:lang w:val="fr_FR" w:bidi="fr_FR"/>
          </w:rPr>
          <w:rPr>
            <w:color w:val="0000EE"/>
            <w:u w:val="single"/>
          </w:rPr>
          <w:t>4.12</w:t>
        </w:r>
      </w:hyperlink>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hyperlink r:id="rId13">
        <w:r>
          <w:rPr>
            <w:lang w:val="fr_FR" w:bidi="fr_FR"/>
          </w:rPr>
          <w:rPr>
            <w:color w:val="0000EE"/>
            <w:u w:val="single"/>
          </w:rPr>
          <w:t>1S 16.1–13</w:t>
        </w:r>
      </w:hyperlink>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hyperlink r:id="rId48">
        <w:r>
          <w:rPr>
            <w:lang w:val="fr_FR" w:bidi="fr_FR"/>
          </w:rPr>
          <w:rPr>
            <w:color w:val="0000EE"/>
            <w:u w:val="single"/>
          </w:rPr>
          <w:t>Gn 12.2</w:t>
        </w:r>
      </w:hyperlink>
      <w:r>
        <w:rPr>
          <w:lang w:val="fr_FR" w:bidi="fr_FR"/>
        </w:rPr>
        <w:t xml:space="preserve"> ; </w:t>
      </w:r>
      <w:hyperlink r:id="rId49">
        <w:r>
          <w:rPr>
            <w:lang w:val="fr_FR" w:bidi="fr_FR"/>
          </w:rPr>
          <w:rPr>
            <w:color w:val="0000EE"/>
            <w:u w:val="single"/>
          </w:rPr>
          <w:t>2S 7.9</w:t>
        </w:r>
      </w:hyperlink>
      <w:r>
        <w:rPr>
          <w:lang w:val="fr_FR" w:bidi="fr_FR"/>
        </w:rPr>
        <w:t>) et de repos de leurs ennemis (</w:t>
      </w:r>
      <w:hyperlink r:id="rId50">
        <w:r>
          <w:rPr>
            <w:lang w:val="fr_FR" w:bidi="fr_FR"/>
          </w:rPr>
          <w:rPr>
            <w:color w:val="0000EE"/>
            <w:u w:val="single"/>
          </w:rPr>
          <w:t>Gn 15.18–21</w:t>
        </w:r>
      </w:hyperlink>
      <w:r>
        <w:rPr>
          <w:lang w:val="fr_FR" w:bidi="fr_FR"/>
        </w:rPr>
        <w:t xml:space="preserve"> ;</w:t>
      </w:r>
      <w:hyperlink r:id="rId51">
        <w:r>
          <w:rPr>
            <w:lang w:val="fr_FR" w:bidi="fr_FR"/>
          </w:rPr>
          <w:rPr>
            <w:color w:val="0000EE"/>
            <w:u w:val="single"/>
          </w:rPr>
          <w:t xml:space="preserve"> 2S 7.10</w:t>
        </w:r>
      </w:hyperlink>
      <w:r>
        <w:rPr>
          <w:lang w:val="fr_FR" w:bidi="fr_FR"/>
        </w:rPr>
        <w:t>). Les deux représentent un engagement éternel (</w:t>
      </w:r>
      <w:hyperlink r:id="rId52">
        <w:r>
          <w:rPr>
            <w:lang w:val="fr_FR" w:bidi="fr_FR"/>
          </w:rPr>
          <w:rPr>
            <w:color w:val="0000EE"/>
            <w:u w:val="single"/>
          </w:rPr>
          <w:t>Gn 13.15</w:t>
        </w:r>
      </w:hyperlink>
      <w:r>
        <w:rPr>
          <w:lang w:val="fr_FR" w:bidi="fr_FR"/>
        </w:rPr>
        <w:t xml:space="preserve"> ; </w:t>
      </w:r>
      <w:hyperlink r:id="rId53">
        <w:r>
          <w:rPr>
            <w:lang w:val="fr_FR" w:bidi="fr_FR"/>
          </w:rPr>
          <w:rPr>
            <w:color w:val="0000EE"/>
            <w:u w:val="single"/>
          </w:rPr>
          <w:t>2S 7.16</w:t>
        </w:r>
      </w:hyperlink>
      <w:r>
        <w:rPr>
          <w:lang w:val="fr_FR" w:bidi="fr_FR"/>
        </w:rPr>
        <w:t>), et une grande partie du pays que Dieu avait promis à Abraham et à ses descendants (</w:t>
      </w:r>
      <w:hyperlink r:id="rId54">
        <w:r>
          <w:rPr>
            <w:lang w:val="fr_FR" w:bidi="fr_FR"/>
          </w:rPr>
          <w:rPr>
            <w:color w:val="0000EE"/>
            <w:u w:val="single"/>
          </w:rPr>
          <w:t>Gn 15.18</w:t>
        </w:r>
      </w:hyperlink>
      <w:r>
        <w:rPr>
          <w:lang w:val="fr_FR" w:bidi="fr_FR"/>
        </w:rPr>
        <w:t>) est acquise par l'expansion de l'empire de David (</w:t>
      </w:r>
      <w:hyperlink r:id="rId14">
        <w:r>
          <w:rPr>
            <w:lang w:val="fr_FR" w:bidi="fr_FR"/>
          </w:rPr>
          <w:rPr>
            <w:color w:val="0000EE"/>
            <w:u w:val="single"/>
          </w:rPr>
          <w:t>2S 5.17–25</w:t>
        </w:r>
      </w:hyperlink>
      <w:r>
        <w:rPr>
          <w:lang w:val="fr_FR" w:bidi="fr_FR"/>
        </w:rPr>
        <w:t xml:space="preserve"> ; </w:t>
      </w:r>
      <w:hyperlink r:id="rId55">
        <w:r>
          <w:rPr>
            <w:lang w:val="fr_FR" w:bidi="fr_FR"/>
          </w:rPr>
          <w:rPr>
            <w:color w:val="0000EE"/>
            <w:u w:val="single"/>
          </w:rPr>
          <w:t>8.1–14</w:t>
        </w:r>
      </w:hyperlink>
      <w:r>
        <w:rPr>
          <w:lang w:val="fr_FR" w:bidi="fr_FR"/>
        </w:rPr>
        <w:t xml:space="preserve"> ; </w:t>
      </w:r>
      <w:hyperlink r:id="rId56">
        <w:r>
          <w:rPr>
            <w:lang w:val="fr_FR" w:bidi="fr_FR"/>
          </w:rPr>
          <w:rPr>
            <w:color w:val="0000EE"/>
            <w:u w:val="single"/>
          </w:rPr>
          <w:t>10.1–9</w:t>
        </w:r>
      </w:hyperlink>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hyperlink r:id="rId57">
        <w:r>
          <w:rPr>
            <w:lang w:val="fr_FR" w:bidi="fr_FR"/>
          </w:rPr>
          <w:rPr>
            <w:color w:val="0000EE"/>
            <w:u w:val="single"/>
          </w:rPr>
          <w:t>12.1–20.26</w:t>
        </w:r>
      </w:hyperlink>
      <w:r>
        <w:rPr>
          <w:lang w:val="fr_FR" w:bidi="fr_FR"/>
        </w:rPr>
        <w:t xml:space="preserve"> ; </w:t>
      </w:r>
      <w:hyperlink r:id="rId34">
        <w:r>
          <w:rPr>
            <w:lang w:val="fr_FR" w:bidi="fr_FR"/>
          </w:rPr>
          <w:rPr>
            <w:color w:val="0000EE"/>
            <w:u w:val="single"/>
          </w:rPr>
          <w:t>24.1–25</w:t>
        </w:r>
      </w:hyperlink>
      <w:r>
        <w:rPr>
          <w:lang w:val="fr_FR" w:bidi="fr_FR"/>
        </w:rPr>
        <w:t>). Pourtant, Dieu reste engagé envers David et sa dynastie (</w:t>
      </w:r>
      <w:hyperlink r:id="rId58">
        <w:r>
          <w:rPr>
            <w:lang w:val="fr_FR" w:bidi="fr_FR"/>
          </w:rPr>
          <w:rPr>
            <w:color w:val="0000EE"/>
            <w:u w:val="single"/>
          </w:rPr>
          <w:t>7.14–16</w:t>
        </w:r>
      </w:hyperlink>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hyperlink r:id="rId59">
        <w:r>
          <w:rPr>
            <w:lang w:val="fr_FR" w:bidi="fr_FR"/>
          </w:rPr>
          <w:rPr>
            <w:color w:val="0000EE"/>
            <w:u w:val="single"/>
          </w:rPr>
          <w:t>Mt 1.1</w:t>
        </w:r>
      </w:hyperlink>
      <w:r>
        <w:rPr>
          <w:lang w:val="fr_FR" w:bidi="fr_FR"/>
        </w:rPr>
        <w:t>) et se termine également (</w:t>
      </w:r>
      <w:hyperlink r:id="rId60">
        <w:r>
          <w:rPr>
            <w:lang w:val="fr_FR" w:bidi="fr_FR"/>
          </w:rPr>
          <w:rPr>
            <w:color w:val="0000EE"/>
            <w:u w:val="single"/>
          </w:rPr>
          <w:t>Ap 22.16</w:t>
        </w:r>
      </w:hyperlink>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