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2"/>
      </w:pPr>
      <w:r>
        <w:rPr>
          <w:lang w:val="fr_FR" w:bidi="fr_FR"/>
        </w:rPr>
        <w:t>Résumé</w:t>
      </w:r>
    </w:p>
    <w:p>
      <w:pPr/>
      <w:r>
        <w:rPr>
          <w:lang w:val="fr_FR" w:bidi="fr_FR"/>
        </w:rPr>
      </w:r>
      <w:r>
        <w:rPr>
          <w:lang w:val="fr_FR" w:bidi="fr_FR"/>
        </w:rPr>
        <w:t xml:space="preserve">Les psaumes, comme toute l'Écriture, sont inspirés et donnés par Dieu (voir </w:t>
      </w:r>
      <w:hyperlink r:id="rId13">
        <w:r>
          <w:rPr>
            <w:lang w:val="fr_FR" w:bidi="fr_FR"/>
          </w:rPr>
          <w:rPr>
            <w:color w:val="0000EE"/>
            <w:u w:val="single"/>
          </w:rPr>
          <w:t>2Tm 3.16</w:t>
        </w:r>
      </w:hyperlink>
      <w:r>
        <w:rPr>
          <w:lang w:val="fr_FR" w:bidi="fr_FR"/>
        </w:rP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pPr/>
      <w:r>
        <w:rPr>
          <w:lang w:val="fr_FR" w:bidi="fr_FR"/>
        </w:rPr>
      </w:r>
      <w:r>
        <w:rPr>
          <w:lang w:val="fr_FR" w:bidi="fr_FR"/>
        </w:rPr>
        <w:t>Les deux premiers psaumes introduisent l’ensemble du Psautier. Le</w:t>
      </w:r>
      <w:hyperlink r:id="rId14">
        <w:r>
          <w:rPr>
            <w:lang w:val="fr_FR" w:bidi="fr_FR"/>
          </w:rPr>
          <w:rPr>
            <w:color w:val="0000EE"/>
            <w:u w:val="single"/>
          </w:rPr>
          <w:t xml:space="preserve"> Ps 1</w:t>
        </w:r>
      </w:hyperlink>
      <w:r>
        <w:rPr>
          <w:lang w:val="fr_FR" w:bidi="fr_FR"/>
        </w:rPr>
        <w:t xml:space="preserve"> décrit une personne pieuse qui se réjouit en Dieu, vit selon l'instruction divine et n'est pas influencée par les malfaiteurs. Le</w:t>
      </w:r>
      <w:hyperlink r:id="rId14">
        <w:r>
          <w:rPr>
            <w:lang w:val="fr_FR" w:bidi="fr_FR"/>
          </w:rPr>
          <w:rPr>
            <w:color w:val="0000EE"/>
            <w:u w:val="single"/>
          </w:rPr>
          <w:t xml:space="preserve"> Ps 1</w:t>
        </w:r>
      </w:hyperlink>
      <w:r>
        <w:rPr>
          <w:lang w:val="fr_FR" w:bidi="fr_FR"/>
        </w:rP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pPr/>
      <w:r>
        <w:rPr>
          <w:lang w:val="fr_FR" w:bidi="fr_FR"/>
        </w:rPr>
      </w:r>
      <w:r>
        <w:rPr>
          <w:lang w:val="fr_FR" w:bidi="fr_FR"/>
        </w:rPr>
        <w:t xml:space="preserve">Le </w:t>
      </w:r>
      <w:hyperlink r:id="rId15">
        <w:r>
          <w:rPr>
            <w:lang w:val="fr_FR" w:bidi="fr_FR"/>
          </w:rPr>
          <w:rPr>
            <w:color w:val="0000EE"/>
            <w:u w:val="single"/>
          </w:rPr>
          <w:t>Ps 2</w:t>
        </w:r>
      </w:hyperlink>
      <w:r>
        <w:rPr>
          <w:lang w:val="fr_FR" w:bidi="fr_FR"/>
        </w:rP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pPr/>
      <w:r>
        <w:rPr>
          <w:lang w:val="fr_FR" w:bidi="fr_FR"/>
        </w:rPr>
      </w:r>
      <w:r>
        <w:rPr>
          <w:lang w:val="fr_FR" w:bidi="fr_FR"/>
        </w:rP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2"/>
      </w:pPr>
      <w:r>
        <w:rPr>
          <w:lang w:val="fr_FR" w:bidi="fr_FR"/>
        </w:rPr>
        <w:t>La composition des Psaumes</w:t>
      </w:r>
    </w:p>
    <w:p>
      <w:pPr/>
      <w:r>
        <w:rPr>
          <w:lang w:val="fr_FR" w:bidi="fr_FR"/>
        </w:rPr>
      </w:r>
      <w:r>
        <w:rPr>
          <w:lang w:val="fr_FR" w:bidi="fr_FR"/>
        </w:rP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numPr>
          <w:ilvl w:val="0"/>
          <w:numId w:val="14"/>
        </w:numPr>
        <w:spacing w:line="240" w:lineRule="auto"/>
        <w:ind w:left="720"/>
      </w:pPr>
      <w:r>
        <w:rPr>
          <w:lang w:val="fr_FR" w:bidi="fr_FR"/>
        </w:rPr>
      </w:r>
      <w:r>
        <w:rPr>
          <w:lang w:val="fr_FR" w:bidi="fr_FR"/>
        </w:rPr>
        <w:t>Les éditeurs ont placé les</w:t>
      </w:r>
      <w:hyperlink r:id="rId14">
        <w:r>
          <w:rPr>
            <w:lang w:val="fr_FR" w:bidi="fr_FR"/>
          </w:rPr>
          <w:rPr>
            <w:color w:val="0000EE"/>
            <w:u w:val="single"/>
          </w:rPr>
          <w:t xml:space="preserve"> Ps 1</w:t>
        </w:r>
      </w:hyperlink>
      <w:r>
        <w:rPr>
          <w:lang w:val="fr_FR" w:bidi="fr_FR"/>
        </w:rPr>
        <w:t xml:space="preserve"> et </w:t>
      </w:r>
      <w:hyperlink r:id="rId15">
        <w:r>
          <w:rPr>
            <w:lang w:val="fr_FR" w:bidi="fr_FR"/>
          </w:rPr>
          <w:rPr>
            <w:color w:val="0000EE"/>
            <w:u w:val="single"/>
          </w:rPr>
          <w:t>2</w:t>
        </w:r>
      </w:hyperlink>
      <w:r>
        <w:rPr>
          <w:lang w:val="fr_FR" w:bidi="fr_FR"/>
        </w:rPr>
        <w:t xml:space="preserve"> comme une introduction à l'ensemble du livre. Les deux psaumes offrent des portraits idéalisés : le</w:t>
      </w:r>
      <w:hyperlink r:id="rId14">
        <w:r>
          <w:rPr>
            <w:lang w:val="fr_FR" w:bidi="fr_FR"/>
          </w:rPr>
          <w:rPr>
            <w:color w:val="0000EE"/>
            <w:u w:val="single"/>
          </w:rPr>
          <w:t xml:space="preserve"> Ps 1</w:t>
        </w:r>
      </w:hyperlink>
      <w:r>
        <w:rPr>
          <w:lang w:val="fr_FR" w:bidi="fr_FR"/>
        </w:rPr>
        <w:t xml:space="preserve"> dépeint la personne pieuse idéale qui vit selon l'instruction de Dieu. Le </w:t>
      </w:r>
      <w:hyperlink r:id="rId15">
        <w:r>
          <w:rPr>
            <w:lang w:val="fr_FR" w:bidi="fr_FR"/>
          </w:rPr>
          <w:rPr>
            <w:color w:val="0000EE"/>
            <w:u w:val="single"/>
          </w:rPr>
          <w:t>Ps 2</w:t>
        </w:r>
      </w:hyperlink>
      <w:r>
        <w:rPr>
          <w:lang w:val="fr_FR" w:bidi="fr_FR"/>
        </w:rP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Pr>
          <w:lang w:val="fr_FR" w:bidi="fr_FR"/>
        </w:rPr>
      </w:r>
      <w:r>
        <w:rPr>
          <w:lang w:val="fr_FR" w:bidi="fr_FR"/>
        </w:rPr>
        <w:t>Les psaumes individuels ont été rassemblés en groupes. Les éditeurs ont structuré ces regroupements en cinq grandes collections : livre Un (</w:t>
      </w:r>
      <w:hyperlink r:id="rId16">
        <w:r>
          <w:rPr>
            <w:lang w:val="fr_FR" w:bidi="fr_FR"/>
          </w:rPr>
          <w:rPr>
            <w:color w:val="0000EE"/>
            <w:u w:val="single"/>
          </w:rPr>
          <w:t>Ps 1–41</w:t>
        </w:r>
      </w:hyperlink>
      <w:r>
        <w:rPr>
          <w:lang w:val="fr_FR" w:bidi="fr_FR"/>
        </w:rPr>
        <w:t xml:space="preserve">, clôturé par une doxologie en </w:t>
      </w:r>
      <w:hyperlink r:id="rId17">
        <w:r>
          <w:rPr>
            <w:lang w:val="fr_FR" w:bidi="fr_FR"/>
          </w:rPr>
          <w:rPr>
            <w:color w:val="0000EE"/>
            <w:u w:val="single"/>
          </w:rPr>
          <w:t>41.13</w:t>
        </w:r>
      </w:hyperlink>
      <w:r>
        <w:rPr>
          <w:lang w:val="fr_FR" w:bidi="fr_FR"/>
        </w:rPr>
        <w:t>), livre Deux (</w:t>
      </w:r>
      <w:hyperlink r:id="rId18">
        <w:r>
          <w:rPr>
            <w:lang w:val="fr_FR" w:bidi="fr_FR"/>
          </w:rPr>
          <w:rPr>
            <w:color w:val="0000EE"/>
            <w:u w:val="single"/>
          </w:rPr>
          <w:t>Ps 42–72</w:t>
        </w:r>
      </w:hyperlink>
      <w:r>
        <w:rPr>
          <w:lang w:val="fr_FR" w:bidi="fr_FR"/>
        </w:rPr>
        <w:t xml:space="preserve">, avec une doxologie en </w:t>
      </w:r>
      <w:hyperlink r:id="rId19">
        <w:r>
          <w:rPr>
            <w:lang w:val="fr_FR" w:bidi="fr_FR"/>
          </w:rPr>
          <w:rPr>
            <w:color w:val="0000EE"/>
            <w:u w:val="single"/>
          </w:rPr>
          <w:t>72.19</w:t>
        </w:r>
      </w:hyperlink>
      <w:r>
        <w:rPr>
          <w:lang w:val="fr_FR" w:bidi="fr_FR"/>
        </w:rPr>
        <w:t>), livre Trois (</w:t>
      </w:r>
      <w:hyperlink r:id="rId20">
        <w:r>
          <w:rPr>
            <w:lang w:val="fr_FR" w:bidi="fr_FR"/>
          </w:rPr>
          <w:rPr>
            <w:color w:val="0000EE"/>
            <w:u w:val="single"/>
          </w:rPr>
          <w:t>Ps 73–89</w:t>
        </w:r>
      </w:hyperlink>
      <w:r>
        <w:rPr>
          <w:lang w:val="fr_FR" w:bidi="fr_FR"/>
        </w:rPr>
        <w:t xml:space="preserve">, avec une doxologie en </w:t>
      </w:r>
      <w:hyperlink r:id="rId21">
        <w:r>
          <w:rPr>
            <w:lang w:val="fr_FR" w:bidi="fr_FR"/>
          </w:rPr>
          <w:rPr>
            <w:color w:val="0000EE"/>
            <w:u w:val="single"/>
          </w:rPr>
          <w:t>89.52</w:t>
        </w:r>
      </w:hyperlink>
      <w:r>
        <w:rPr>
          <w:lang w:val="fr_FR" w:bidi="fr_FR"/>
        </w:rPr>
        <w:t>), livre Quatre (</w:t>
      </w:r>
      <w:hyperlink r:id="rId22">
        <w:r>
          <w:rPr>
            <w:lang w:val="fr_FR" w:bidi="fr_FR"/>
          </w:rPr>
          <w:rPr>
            <w:color w:val="0000EE"/>
            <w:u w:val="single"/>
          </w:rPr>
          <w:t>Ps 90–106</w:t>
        </w:r>
      </w:hyperlink>
      <w:r>
        <w:rPr>
          <w:lang w:val="fr_FR" w:bidi="fr_FR"/>
        </w:rPr>
        <w:t xml:space="preserve">, avec une doxologie en </w:t>
      </w:r>
      <w:hyperlink r:id="rId23">
        <w:r>
          <w:rPr>
            <w:lang w:val="fr_FR" w:bidi="fr_FR"/>
          </w:rPr>
          <w:rPr>
            <w:color w:val="0000EE"/>
            <w:u w:val="single"/>
          </w:rPr>
          <w:t>106.48</w:t>
        </w:r>
      </w:hyperlink>
      <w:r>
        <w:rPr>
          <w:lang w:val="fr_FR" w:bidi="fr_FR"/>
        </w:rPr>
        <w:t>), et livre Cinq (</w:t>
      </w:r>
      <w:hyperlink r:id="rId24">
        <w:r>
          <w:rPr>
            <w:lang w:val="fr_FR" w:bidi="fr_FR"/>
          </w:rPr>
          <w:rPr>
            <w:color w:val="0000EE"/>
            <w:u w:val="single"/>
          </w:rPr>
          <w:t>Ps 107–150</w:t>
        </w:r>
      </w:hyperlink>
      <w:r>
        <w:rPr>
          <w:lang w:val="fr_FR" w:bidi="fr_FR"/>
        </w:rPr>
        <w:t>, sans doxologie finale).</w:t>
      </w:r>
    </w:p>
    <w:p>
      <w:pPr>
        <w:pStyle w:val="ListNumber"/>
        <w:spacing w:line="240" w:lineRule="auto"/>
        <w:ind w:left="720"/>
      </w:pPr>
      <w:r>
        <w:rPr>
          <w:lang w:val="fr_FR" w:bidi="fr_FR"/>
        </w:rPr>
      </w:r>
      <w:r>
        <w:rPr>
          <w:lang w:val="fr_FR" w:bidi="fr_FR"/>
        </w:rPr>
        <w:t>Les livres Un (</w:t>
      </w:r>
      <w:hyperlink r:id="rId16">
        <w:r>
          <w:rPr>
            <w:lang w:val="fr_FR" w:bidi="fr_FR"/>
          </w:rPr>
          <w:rPr>
            <w:color w:val="0000EE"/>
            <w:u w:val="single"/>
          </w:rPr>
          <w:t>Ps 1–41</w:t>
        </w:r>
      </w:hyperlink>
      <w:r>
        <w:rPr>
          <w:lang w:val="fr_FR" w:bidi="fr_FR"/>
        </w:rPr>
        <w:t>) et Deux (</w:t>
      </w:r>
      <w:hyperlink r:id="rId18">
        <w:r>
          <w:rPr>
            <w:lang w:val="fr_FR" w:bidi="fr_FR"/>
          </w:rPr>
          <w:rPr>
            <w:color w:val="0000EE"/>
            <w:u w:val="single"/>
          </w:rPr>
          <w:t>Ps 42–72</w:t>
        </w:r>
      </w:hyperlink>
      <w:r>
        <w:rPr>
          <w:lang w:val="fr_FR" w:bidi="fr_FR"/>
        </w:rPr>
        <w:t>) constituent la première étape de cette compilation. Le passage des nombreux psaumes attribués à David dans le livre Un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34–41</w:t>
        </w:r>
      </w:hyperlink>
      <w:r>
        <w:rPr>
          <w:lang w:val="fr_FR" w:bidi="fr_FR"/>
        </w:rPr>
        <w:t xml:space="preserve">) à des collections de psaumes venant de divers auteurs dans le livre Deux (les descendants de Koré, </w:t>
      </w:r>
      <w:hyperlink r:id="rId27">
        <w:r>
          <w:rPr>
            <w:lang w:val="fr_FR" w:bidi="fr_FR"/>
          </w:rPr>
          <w:rPr>
            <w:color w:val="0000EE"/>
            <w:u w:val="single"/>
          </w:rPr>
          <w:t>Ps 42–49</w:t>
        </w:r>
      </w:hyperlink>
      <w:r>
        <w:rPr>
          <w:lang w:val="fr_FR" w:bidi="fr_FR"/>
        </w:rPr>
        <w:t xml:space="preserve"> ; Asaph, </w:t>
      </w:r>
      <w:hyperlink r:id="rId28">
        <w:r>
          <w:rPr>
            <w:lang w:val="fr_FR" w:bidi="fr_FR"/>
          </w:rPr>
          <w:rPr>
            <w:color w:val="0000EE"/>
            <w:u w:val="single"/>
          </w:rPr>
          <w:t>Ps 50</w:t>
        </w:r>
      </w:hyperlink>
      <w:r>
        <w:rPr>
          <w:lang w:val="fr_FR" w:bidi="fr_FR"/>
        </w:rPr>
        <w:t xml:space="preserve"> ; David, </w:t>
      </w:r>
      <w:hyperlink r:id="rId29">
        <w:r>
          <w:rPr>
            <w:lang w:val="fr_FR" w:bidi="fr_FR"/>
          </w:rPr>
          <w:rPr>
            <w:color w:val="0000EE"/>
            <w:u w:val="single"/>
          </w:rPr>
          <w:t>Ps 51–65</w:t>
        </w:r>
      </w:hyperlink>
      <w:r>
        <w:rPr>
          <w:lang w:val="fr_FR" w:bidi="fr_FR"/>
        </w:rPr>
        <w:t xml:space="preserve"> ; </w:t>
      </w:r>
      <w:hyperlink r:id="rId30">
        <w:r>
          <w:rPr>
            <w:lang w:val="fr_FR" w:bidi="fr_FR"/>
          </w:rPr>
          <w:rPr>
            <w:color w:val="0000EE"/>
            <w:u w:val="single"/>
          </w:rPr>
          <w:t>68–70</w:t>
        </w:r>
      </w:hyperlink>
      <w:r>
        <w:rPr>
          <w:lang w:val="fr_FR" w:bidi="fr_FR"/>
        </w:rPr>
        <w:t xml:space="preserve"> ; Salomon, </w:t>
      </w:r>
      <w:hyperlink r:id="rId31">
        <w:r>
          <w:rPr>
            <w:lang w:val="fr_FR" w:bidi="fr_FR"/>
          </w:rPr>
          <w:rPr>
            <w:color w:val="0000EE"/>
            <w:u w:val="single"/>
          </w:rPr>
          <w:t>Ps 72</w:t>
        </w:r>
      </w:hyperlink>
      <w:r>
        <w:rPr>
          <w:lang w:val="fr_FR" w:bidi="fr_FR"/>
        </w:rPr>
        <w:t xml:space="preserve">) révèle une transition : on passe de David en tant que seul modèle et enseignant à d'autres perspectives. À la fin du livre Deux, une note éditoriale indique : « </w:t>
      </w:r>
      <w:r>
        <w:rPr>
          <w:lang w:val="fr_FR" w:bidi="fr_FR"/>
        </w:rPr>
        <w:t>Fin des prières de David, fils d’Isaï</w:t>
      </w:r>
      <w:r>
        <w:rPr>
          <w:lang w:val="fr_FR" w:bidi="fr_FR"/>
        </w:rPr>
        <w:t xml:space="preserve"> » (</w:t>
      </w:r>
      <w:hyperlink r:id="rId32">
        <w:r>
          <w:rPr>
            <w:lang w:val="fr_FR" w:bidi="fr_FR"/>
          </w:rPr>
          <w:rPr>
            <w:color w:val="0000EE"/>
            <w:u w:val="single"/>
          </w:rPr>
          <w:t>72.20</w:t>
        </w:r>
      </w:hyperlink>
      <w:r>
        <w:rPr>
          <w:lang w:val="fr_FR" w:bidi="fr_FR"/>
        </w:rPr>
        <w:t>), remarque qui est restée dans le texte même après l’ajout des livres Trois, Quatre et Cinq, qui comportent aussi des psaumes attribués à David.</w:t>
      </w:r>
    </w:p>
    <w:p>
      <w:pPr>
        <w:pStyle w:val="ListNumber"/>
        <w:spacing w:line="240" w:lineRule="auto"/>
        <w:ind w:left="720"/>
      </w:pPr>
      <w:r>
        <w:rPr>
          <w:lang w:val="fr_FR" w:bidi="fr_FR"/>
        </w:rPr>
      </w:r>
      <w:r>
        <w:rPr>
          <w:lang w:val="fr_FR" w:bidi="fr_FR"/>
        </w:rPr>
        <w:t>Le livre Trois (</w:t>
      </w:r>
      <w:hyperlink r:id="rId20">
        <w:r>
          <w:rPr>
            <w:lang w:val="fr_FR" w:bidi="fr_FR"/>
          </w:rPr>
          <w:rPr>
            <w:color w:val="0000EE"/>
            <w:u w:val="single"/>
          </w:rPr>
          <w:t>Ps 73–89</w:t>
        </w:r>
      </w:hyperlink>
      <w:r>
        <w:rPr>
          <w:lang w:val="fr_FR" w:bidi="fr_FR"/>
        </w:rPr>
        <w:t xml:space="preserve">) partage avec le livre Deux une préférence pour le nom hébreu </w:t>
      </w:r>
      <w:r>
        <w:rPr>
          <w:i/>
          <w:lang w:val="fr_FR" w:bidi="fr_FR"/>
        </w:rPr>
        <w:t>Elohim</w:t>
      </w:r>
      <w:r>
        <w:rPr>
          <w:lang w:val="fr_FR" w:bidi="fr_FR"/>
        </w:rPr>
        <w:t>, afin de décrire Dieu (</w:t>
      </w:r>
      <w:hyperlink r:id="rId33">
        <w:r>
          <w:rPr>
            <w:lang w:val="fr_FR" w:bidi="fr_FR"/>
          </w:rPr>
          <w:rPr>
            <w:color w:val="0000EE"/>
            <w:u w:val="single"/>
          </w:rPr>
          <w:t>Ps 42–83</w:t>
        </w:r>
      </w:hyperlink>
      <w:r>
        <w:rPr>
          <w:lang w:val="fr_FR" w:bidi="fr_FR"/>
        </w:rPr>
        <w:t xml:space="preserve">), ainsi qu’une diversité d’auteurs (Asaph, </w:t>
      </w:r>
      <w:hyperlink r:id="rId34">
        <w:r>
          <w:rPr>
            <w:lang w:val="fr_FR" w:bidi="fr_FR"/>
          </w:rPr>
          <w:rPr>
            <w:color w:val="0000EE"/>
            <w:u w:val="single"/>
          </w:rPr>
          <w:t>Ps 73–83</w:t>
        </w:r>
      </w:hyperlink>
      <w:r>
        <w:rPr>
          <w:lang w:val="fr_FR" w:bidi="fr_FR"/>
        </w:rPr>
        <w:t xml:space="preserve"> ; les descendants de Koré, </w:t>
      </w:r>
      <w:hyperlink r:id="rId35">
        <w:r>
          <w:rPr>
            <w:lang w:val="fr_FR" w:bidi="fr_FR"/>
          </w:rPr>
          <w:rPr>
            <w:color w:val="0000EE"/>
            <w:u w:val="single"/>
          </w:rPr>
          <w:t>Ps 84–85</w:t>
        </w:r>
      </w:hyperlink>
      <w:r>
        <w:rPr>
          <w:lang w:val="fr_FR" w:bidi="fr_FR"/>
        </w:rPr>
        <w:t xml:space="preserve"> ; </w:t>
      </w:r>
      <w:hyperlink r:id="rId36">
        <w:r>
          <w:rPr>
            <w:lang w:val="fr_FR" w:bidi="fr_FR"/>
          </w:rPr>
          <w:rPr>
            <w:color w:val="0000EE"/>
            <w:u w:val="single"/>
          </w:rPr>
          <w:t>87–88</w:t>
        </w:r>
      </w:hyperlink>
      <w:r>
        <w:rPr>
          <w:lang w:val="fr_FR" w:bidi="fr_FR"/>
        </w:rPr>
        <w:t xml:space="preserve"> ; David, </w:t>
      </w:r>
      <w:hyperlink r:id="rId37">
        <w:r>
          <w:rPr>
            <w:lang w:val="fr_FR" w:bidi="fr_FR"/>
          </w:rPr>
          <w:rPr>
            <w:color w:val="0000EE"/>
            <w:u w:val="single"/>
          </w:rPr>
          <w:t>Ps 86</w:t>
        </w:r>
      </w:hyperlink>
      <w:r>
        <w:rPr>
          <w:lang w:val="fr_FR" w:bidi="fr_FR"/>
        </w:rPr>
        <w:t>). Le</w:t>
      </w:r>
      <w:hyperlink r:id="rId38">
        <w:r>
          <w:rPr>
            <w:lang w:val="fr_FR" w:bidi="fr_FR"/>
          </w:rPr>
          <w:rPr>
            <w:color w:val="0000EE"/>
            <w:u w:val="single"/>
          </w:rPr>
          <w:t xml:space="preserve"> Ps 73</w:t>
        </w:r>
      </w:hyperlink>
      <w:r>
        <w:rPr>
          <w:lang w:val="fr_FR" w:bidi="fr_FR"/>
        </w:rPr>
        <w:t>, qui ouvre ce livre Trois, remet en cause la justice et la puissance de Dieu, posant ainsi un contraste fort avec la vision prospère du royaume messianique décrite dans le dernier psaume du livre Deux (</w:t>
      </w:r>
      <w:hyperlink r:id="rId31">
        <w:r>
          <w:rPr>
            <w:lang w:val="fr_FR" w:bidi="fr_FR"/>
          </w:rPr>
          <w:rPr>
            <w:color w:val="0000EE"/>
            <w:u w:val="single"/>
          </w:rPr>
          <w:t>Ps 72</w:t>
        </w:r>
      </w:hyperlink>
      <w:r>
        <w:rPr>
          <w:lang w:val="fr_FR" w:bidi="fr_FR"/>
        </w:rPr>
        <w:t xml:space="preserve">). Ce doute revient aussi dans le </w:t>
      </w:r>
      <w:hyperlink r:id="rId39">
        <w:r>
          <w:rPr>
            <w:lang w:val="fr_FR" w:bidi="fr_FR"/>
          </w:rPr>
          <w:rPr>
            <w:color w:val="0000EE"/>
            <w:u w:val="single"/>
          </w:rPr>
          <w:t>Ps 89</w:t>
        </w:r>
      </w:hyperlink>
      <w:r>
        <w:rPr>
          <w:lang w:val="fr_FR" w:bidi="fr_FR"/>
        </w:rPr>
        <w:t>, à la fin du livre Trois.</w:t>
      </w:r>
    </w:p>
    <w:p>
      <w:pPr>
        <w:pStyle w:val="ListNumber"/>
        <w:spacing w:line="240" w:lineRule="auto"/>
        <w:ind w:left="720"/>
      </w:pPr>
      <w:r>
        <w:rPr>
          <w:lang w:val="fr_FR" w:bidi="fr_FR"/>
        </w:rPr>
      </w:r>
      <w:r>
        <w:rPr>
          <w:lang w:val="fr_FR" w:bidi="fr_FR"/>
        </w:rPr>
        <w:t>Les psaumes du livre Quatre (</w:t>
      </w:r>
      <w:hyperlink r:id="rId22">
        <w:r>
          <w:rPr>
            <w:lang w:val="fr_FR" w:bidi="fr_FR"/>
          </w:rPr>
          <w:rPr>
            <w:color w:val="0000EE"/>
            <w:u w:val="single"/>
          </w:rPr>
          <w:t>Ps 90–106</w:t>
        </w:r>
      </w:hyperlink>
      <w:r>
        <w:rPr>
          <w:lang w:val="fr_FR" w:bidi="fr_FR"/>
        </w:rPr>
        <w:t xml:space="preserve">) abordent les questions soulevées à l'époque de l'Exil, alors que l’alliance de Dieu avec David semblait rompue (voir </w:t>
      </w:r>
      <w:hyperlink r:id="rId39">
        <w:r>
          <w:rPr>
            <w:lang w:val="fr_FR" w:bidi="fr_FR"/>
          </w:rPr>
          <w:rPr>
            <w:color w:val="0000EE"/>
            <w:u w:val="single"/>
          </w:rPr>
          <w:t>Ps 89</w:t>
        </w:r>
      </w:hyperlink>
      <w:r>
        <w:rPr>
          <w:lang w:val="fr_FR" w:bidi="fr_FR"/>
        </w:rPr>
        <w:t xml:space="preserve">). En réponse à cette crise, plusieurs psaumes encouragent la croissance personnelle dans le caractère et la piété (voir </w:t>
      </w:r>
      <w:hyperlink r:id="rId40">
        <w:r>
          <w:rPr>
            <w:lang w:val="fr_FR" w:bidi="fr_FR"/>
          </w:rPr>
          <w:rPr>
            <w:color w:val="0000EE"/>
            <w:u w:val="single"/>
          </w:rPr>
          <w:t>Ps 91–92</w:t>
        </w:r>
      </w:hyperlink>
      <w:r>
        <w:rPr>
          <w:lang w:val="fr_FR" w:bidi="fr_FR"/>
        </w:rPr>
        <w:t>). La plupart des psaumes de cette collection présentent Dieu comme le roi véritable et fidèle dont la royauté s’étend à toute la création (</w:t>
      </w:r>
      <w:hyperlink r:id="rId41">
        <w:r>
          <w:rPr>
            <w:lang w:val="fr_FR" w:bidi="fr_FR"/>
          </w:rPr>
          <w:rPr>
            <w:color w:val="0000EE"/>
            <w:u w:val="single"/>
          </w:rPr>
          <w:t>Ps 93–100</w:t>
        </w:r>
      </w:hyperlink>
      <w:r>
        <w:rPr>
          <w:lang w:val="fr_FR" w:bidi="fr_FR"/>
        </w:rPr>
        <w:t>). Il aime toujours son peuple, le troupeau de son pâturage (</w:t>
      </w:r>
      <w:hyperlink r:id="rId42">
        <w:r>
          <w:rPr>
            <w:lang w:val="fr_FR" w:bidi="fr_FR"/>
          </w:rPr>
          <w:rPr>
            <w:color w:val="0000EE"/>
            <w:u w:val="single"/>
          </w:rPr>
          <w:t>Ps 100</w:t>
        </w:r>
      </w:hyperlink>
      <w:r>
        <w:rPr>
          <w:lang w:val="fr_FR" w:bidi="fr_FR"/>
        </w:rPr>
        <w:t>), mais attend aussi de lui qu’il l’écoute (</w:t>
      </w:r>
      <w:hyperlink r:id="rId43">
        <w:r>
          <w:rPr>
            <w:lang w:val="fr_FR" w:bidi="fr_FR"/>
          </w:rPr>
          <w:rPr>
            <w:color w:val="0000EE"/>
            <w:u w:val="single"/>
          </w:rPr>
          <w:t>Ps 95</w:t>
        </w:r>
      </w:hyperlink>
      <w:r>
        <w:rPr>
          <w:lang w:val="fr_FR" w:bidi="fr_FR"/>
        </w:rPr>
        <w:t xml:space="preserve"> ; </w:t>
      </w:r>
      <w:hyperlink r:id="rId42">
        <w:r>
          <w:rPr>
            <w:lang w:val="fr_FR" w:bidi="fr_FR"/>
          </w:rPr>
          <w:rPr>
            <w:color w:val="0000EE"/>
            <w:u w:val="single"/>
          </w:rPr>
          <w:t>100</w:t>
        </w:r>
      </w:hyperlink>
      <w:r>
        <w:rPr>
          <w:lang w:val="fr_FR" w:bidi="fr_FR"/>
        </w:rPr>
        <w:t>). Dieu est source de pardon, et sa compassion rappelle aux exilés qu’il prend toujours soin d’eux. Une relecture de l’histoire de la rédemption, de la création à l’Exil (</w:t>
      </w:r>
      <w:hyperlink r:id="rId44">
        <w:r>
          <w:rPr>
            <w:lang w:val="fr_FR" w:bidi="fr_FR"/>
          </w:rPr>
          <w:rPr>
            <w:color w:val="0000EE"/>
            <w:u w:val="single"/>
          </w:rPr>
          <w:t>Ps 104–106</w:t>
        </w:r>
      </w:hyperlink>
      <w:r>
        <w:rPr>
          <w:lang w:val="fr_FR" w:bidi="fr_FR"/>
        </w:rPr>
        <w:t>), souligne à la fois la sagesse de Dieu et l’infidélité d’Israël comme cadre pour comprendre cette période de détresse.</w:t>
      </w:r>
    </w:p>
    <w:p>
      <w:pPr>
        <w:pStyle w:val="ListNumber"/>
        <w:spacing w:line="240" w:lineRule="auto"/>
        <w:ind w:left="720"/>
      </w:pPr>
      <w:r>
        <w:rPr>
          <w:lang w:val="fr_FR" w:bidi="fr_FR"/>
        </w:rPr>
      </w:r>
      <w:r>
        <w:rPr>
          <w:lang w:val="fr_FR" w:bidi="fr_FR"/>
        </w:rPr>
        <w:t xml:space="preserve">La bénédiction du </w:t>
      </w:r>
      <w:hyperlink r:id="rId23">
        <w:r>
          <w:rPr>
            <w:lang w:val="fr_FR" w:bidi="fr_FR"/>
          </w:rPr>
          <w:rPr>
            <w:color w:val="0000EE"/>
            <w:u w:val="single"/>
          </w:rPr>
          <w:t>Ps 106.48</w:t>
        </w:r>
      </w:hyperlink>
      <w:r>
        <w:rPr>
          <w:lang w:val="fr_FR" w:bidi="fr_FR"/>
        </w:rPr>
        <w:t xml:space="preserve"> figure aussi dans </w:t>
      </w:r>
      <w:hyperlink r:id="rId45">
        <w:r>
          <w:rPr>
            <w:lang w:val="fr_FR" w:bidi="fr_FR"/>
          </w:rPr>
          <w:rPr>
            <w:color w:val="0000EE"/>
            <w:u w:val="single"/>
          </w:rPr>
          <w:t>1Ch 16.36</w:t>
        </w:r>
      </w:hyperlink>
      <w:r>
        <w:rPr>
          <w:lang w:val="fr_FR" w:bidi="fr_FR"/>
        </w:rPr>
        <w:t>, ce qui pourrait suggérer que la rédaction du livre Quatre a eu lieu à l’époque postexilique (époque durant laquelle les Chroniques ont été compilées).</w:t>
      </w:r>
    </w:p>
    <w:p>
      <w:pPr>
        <w:pStyle w:val="ListNumber"/>
        <w:spacing w:line="240" w:lineRule="auto"/>
        <w:ind w:left="720"/>
      </w:pPr>
      <w:r>
        <w:rPr>
          <w:lang w:val="fr_FR" w:bidi="fr_FR"/>
        </w:rPr>
      </w:r>
      <w:r>
        <w:rPr>
          <w:lang w:val="fr_FR" w:bidi="fr_FR"/>
        </w:rPr>
        <w:t>Le livre Cinq (</w:t>
      </w:r>
      <w:hyperlink r:id="rId24">
        <w:r>
          <w:rPr>
            <w:lang w:val="fr_FR" w:bidi="fr_FR"/>
          </w:rPr>
          <w:rPr>
            <w:color w:val="0000EE"/>
            <w:u w:val="single"/>
          </w:rPr>
          <w:t>Ps 107–150</w:t>
        </w:r>
      </w:hyperlink>
      <w:r>
        <w:rPr>
          <w:lang w:val="fr_FR" w:bidi="fr_FR"/>
        </w:rPr>
        <w:t xml:space="preserve">) contient plusieurs petites collections :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xml:space="preserve">), le </w:t>
      </w:r>
      <w:r>
        <w:rPr>
          <w:i/>
          <w:lang w:val="fr_FR" w:bidi="fr_FR"/>
        </w:rPr>
        <w:t>Psaume de la Torah</w:t>
      </w:r>
      <w:r>
        <w:rPr>
          <w:lang w:val="fr_FR" w:bidi="fr_FR"/>
        </w:rPr>
        <w:t xml:space="preserve"> (</w:t>
      </w:r>
      <w:hyperlink r:id="rId47">
        <w:r>
          <w:rPr>
            <w:lang w:val="fr_FR" w:bidi="fr_FR"/>
          </w:rPr>
          <w:rPr>
            <w:color w:val="0000EE"/>
            <w:u w:val="single"/>
          </w:rPr>
          <w:t>Ps 119</w:t>
        </w:r>
      </w:hyperlink>
      <w:r>
        <w:rPr>
          <w:lang w:val="fr_FR" w:bidi="fr_FR"/>
        </w:rPr>
        <w:t xml:space="preserve">), le </w:t>
      </w:r>
      <w:r>
        <w:rPr>
          <w:i/>
          <w:lang w:val="fr_FR" w:bidi="fr_FR"/>
        </w:rPr>
        <w:t>Grand Hallel</w:t>
      </w:r>
      <w:r>
        <w:rPr>
          <w:lang w:val="fr_FR" w:bidi="fr_FR"/>
        </w:rPr>
        <w:t xml:space="preserve"> (</w:t>
      </w:r>
      <w:hyperlink r:id="rId48">
        <w:r>
          <w:rPr>
            <w:lang w:val="fr_FR" w:bidi="fr_FR"/>
          </w:rPr>
          <w:rPr>
            <w:color w:val="0000EE"/>
            <w:u w:val="single"/>
          </w:rPr>
          <w:t>Ps 120–136</w:t>
        </w:r>
      </w:hyperlink>
      <w:r>
        <w:rPr>
          <w:lang w:val="fr_FR" w:bidi="fr_FR"/>
        </w:rPr>
        <w:t xml:space="preserve">), qui inclut les </w:t>
      </w:r>
      <w:r>
        <w:rPr>
          <w:i/>
          <w:lang w:val="fr_FR" w:bidi="fr_FR"/>
        </w:rPr>
        <w:t xml:space="preserve">Cantiques des degrés </w:t>
      </w:r>
      <w:r>
        <w:rPr>
          <w:lang w:val="fr_FR" w:bidi="fr_FR"/>
        </w:rPr>
        <w:t xml:space="preserve">(aussi appelés </w:t>
      </w:r>
      <w:r>
        <w:rPr>
          <w:i/>
          <w:lang w:val="fr_FR" w:bidi="fr_FR"/>
        </w:rPr>
        <w:t>Chants des Montées)</w:t>
      </w:r>
      <w:r>
        <w:rPr>
          <w:lang w:val="fr_FR" w:bidi="fr_FR"/>
        </w:rPr>
        <w:t xml:space="preserve"> (</w:t>
      </w:r>
      <w:hyperlink r:id="rId49">
        <w:r>
          <w:rPr>
            <w:lang w:val="fr_FR" w:bidi="fr_FR"/>
          </w:rPr>
          <w:rPr>
            <w:color w:val="0000EE"/>
            <w:u w:val="single"/>
          </w:rPr>
          <w:t>Ps 120–134</w:t>
        </w:r>
      </w:hyperlink>
      <w:r>
        <w:rPr>
          <w:lang w:val="fr_FR" w:bidi="fr_FR"/>
        </w:rPr>
        <w:t>), huit psaumes de David (</w:t>
      </w:r>
      <w:hyperlink r:id="rId50">
        <w:r>
          <w:rPr>
            <w:lang w:val="fr_FR" w:bidi="fr_FR"/>
          </w:rPr>
          <w:rPr>
            <w:color w:val="0000EE"/>
            <w:u w:val="single"/>
          </w:rPr>
          <w:t>Ps 138–145</w:t>
        </w:r>
      </w:hyperlink>
      <w:r>
        <w:rPr>
          <w:lang w:val="fr_FR" w:bidi="fr_FR"/>
        </w:rPr>
        <w:t>) et cinq hymnes de louange conclusifs (</w:t>
      </w:r>
      <w:hyperlink r:id="rId51">
        <w:r>
          <w:rPr>
            <w:lang w:val="fr_FR" w:bidi="fr_FR"/>
          </w:rPr>
          <w:rPr>
            <w:color w:val="0000EE"/>
            <w:u w:val="single"/>
          </w:rPr>
          <w:t>Ps 146–150</w:t>
        </w:r>
      </w:hyperlink>
      <w:r>
        <w:rPr>
          <w:lang w:val="fr_FR" w:bidi="fr_FR"/>
        </w:rPr>
        <w:t>). Ce livre Cinq met en évidence une progression allant de la souffrance à la louange. Le psaume d’ouverture (</w:t>
      </w:r>
      <w:hyperlink r:id="rId52">
        <w:r>
          <w:rPr>
            <w:lang w:val="fr_FR" w:bidi="fr_FR"/>
          </w:rPr>
          <w:rPr>
            <w:color w:val="0000EE"/>
            <w:u w:val="single"/>
          </w:rPr>
          <w:t>Ps 107</w:t>
        </w:r>
      </w:hyperlink>
      <w:r>
        <w:rPr>
          <w:lang w:val="fr_FR" w:bidi="fr_FR"/>
        </w:rPr>
        <w:t>) inaugure ce schéma, et son dernier verset (</w:t>
      </w:r>
      <w:hyperlink r:id="rId53">
        <w:r>
          <w:rPr>
            <w:lang w:val="fr_FR" w:bidi="fr_FR"/>
          </w:rPr>
          <w:rPr>
            <w:color w:val="0000EE"/>
            <w:u w:val="single"/>
          </w:rPr>
          <w:t>107.43</w:t>
        </w:r>
      </w:hyperlink>
      <w:r>
        <w:rPr>
          <w:lang w:val="fr_FR" w:bidi="fr_FR"/>
        </w:rPr>
        <w:t>) insiste sur l’importance de la sagesse pour comprendre les voies de Dieu. Le</w:t>
      </w:r>
      <w:hyperlink r:id="rId47">
        <w:r>
          <w:rPr>
            <w:lang w:val="fr_FR" w:bidi="fr_FR"/>
          </w:rPr>
          <w:rPr>
            <w:color w:val="0000EE"/>
            <w:u w:val="single"/>
          </w:rPr>
          <w:t xml:space="preserve"> Ps 119</w:t>
        </w:r>
      </w:hyperlink>
      <w:r>
        <w:rPr>
          <w:lang w:val="fr_FR" w:bidi="fr_FR"/>
        </w:rPr>
        <w:t>, le plus long psaume, célèbre la sagesse divine et sa parole. Les psaumes qui rappellent la fidélité de l’Éternel envers Israël dans le désert (</w:t>
      </w:r>
      <w:hyperlink r:id="rId54">
        <w:r>
          <w:rPr>
            <w:lang w:val="fr_FR" w:bidi="fr_FR"/>
          </w:rPr>
          <w:rPr>
            <w:color w:val="0000EE"/>
            <w:u w:val="single"/>
          </w:rPr>
          <w:t>Ps 114–118</w:t>
        </w:r>
      </w:hyperlink>
      <w:r>
        <w:rPr>
          <w:lang w:val="fr_FR" w:bidi="fr_FR"/>
        </w:rPr>
        <w:t xml:space="preserve"> ; </w:t>
      </w:r>
      <w:hyperlink r:id="rId55">
        <w:r>
          <w:rPr>
            <w:lang w:val="fr_FR" w:bidi="fr_FR"/>
          </w:rPr>
          <w:rPr>
            <w:color w:val="0000EE"/>
            <w:u w:val="single"/>
          </w:rPr>
          <w:t>135–136</w:t>
        </w:r>
      </w:hyperlink>
      <w:r>
        <w:rPr>
          <w:lang w:val="fr_FR" w:bidi="fr_FR"/>
        </w:rPr>
        <w:t>) préparent la communauté exilée et postexilique à lire les dernières prières de David (</w:t>
      </w:r>
      <w:hyperlink r:id="rId50">
        <w:r>
          <w:rPr>
            <w:lang w:val="fr_FR" w:bidi="fr_FR"/>
          </w:rPr>
          <w:rPr>
            <w:color w:val="0000EE"/>
            <w:u w:val="single"/>
          </w:rPr>
          <w:t>Ps 138–145</w:t>
        </w:r>
      </w:hyperlink>
      <w:r>
        <w:rPr>
          <w:lang w:val="fr_FR" w:bidi="fr_FR"/>
        </w:rPr>
        <w:t>) sous un nouveau jour : David attendait avec confiance l’établissement du royaume de Dieu (</w:t>
      </w:r>
      <w:hyperlink r:id="rId56">
        <w:r>
          <w:rPr>
            <w:lang w:val="fr_FR" w:bidi="fr_FR"/>
          </w:rPr>
          <w:rPr>
            <w:color w:val="0000EE"/>
            <w:u w:val="single"/>
          </w:rPr>
          <w:t>Ps 145</w:t>
        </w:r>
      </w:hyperlink>
      <w:r>
        <w:rPr>
          <w:lang w:val="fr_FR" w:bidi="fr_FR"/>
        </w:rPr>
        <w:t>), et les psaumes de louange qui concluent l’ouvrage expriment cette espérance (</w:t>
      </w:r>
      <w:hyperlink r:id="rId51">
        <w:r>
          <w:rPr>
            <w:lang w:val="fr_FR" w:bidi="fr_FR"/>
          </w:rPr>
          <w:rPr>
            <w:color w:val="0000EE"/>
            <w:u w:val="single"/>
          </w:rPr>
          <w:t>Ps 146–150</w:t>
        </w:r>
      </w:hyperlink>
      <w:r>
        <w:rPr>
          <w:lang w:val="fr_FR" w:bidi="fr_FR"/>
        </w:rPr>
        <w:t>).</w:t>
      </w:r>
    </w:p>
    <w:p>
      <w:pPr>
        <w:pStyle w:val="ListNumber"/>
        <w:spacing w:line="240" w:lineRule="auto"/>
        <w:ind w:left="720"/>
      </w:pPr>
      <w:r>
        <w:rPr>
          <w:lang w:val="fr_FR" w:bidi="fr_FR"/>
        </w:rPr>
      </w:r>
      <w:r>
        <w:rPr>
          <w:lang w:val="fr_FR" w:bidi="fr_FR"/>
        </w:rPr>
        <w:t>Certains psaumes semblent avoir reçu des ajouts ultérieurs. Cela pourrait expliquer les prières en faveur de la restauration de Sion (</w:t>
      </w:r>
      <w:hyperlink r:id="rId57">
        <w:r>
          <w:rPr>
            <w:lang w:val="fr_FR" w:bidi="fr_FR"/>
          </w:rPr>
          <w:rPr>
            <w:color w:val="0000EE"/>
            <w:u w:val="single"/>
          </w:rPr>
          <w:t>51.18–19</w:t>
        </w:r>
      </w:hyperlink>
      <w:r>
        <w:rPr>
          <w:lang w:val="fr_FR" w:bidi="fr_FR"/>
        </w:rPr>
        <w:t>) ou les demandes de bénédiction divines sur Jérusalem (</w:t>
      </w:r>
      <w:hyperlink r:id="rId58">
        <w:r>
          <w:rPr>
            <w:lang w:val="fr_FR" w:bidi="fr_FR"/>
          </w:rPr>
          <w:rPr>
            <w:color w:val="0000EE"/>
            <w:u w:val="single"/>
          </w:rPr>
          <w:t>69.34–36</w:t>
        </w:r>
      </w:hyperlink>
      <w:r>
        <w:rPr>
          <w:lang w:val="fr_FR" w:bidi="fr_FR"/>
        </w:rPr>
        <w:t>). Des circonstances nouvelles ont pu justifier l’insertion de strophes supplémentaires.</w:t>
      </w:r>
    </w:p>
    <w:p>
      <w:pPr>
        <w:pStyle w:val="ListNumber"/>
        <w:spacing w:line="240" w:lineRule="auto"/>
        <w:ind w:left="720"/>
      </w:pPr>
      <w:r>
        <w:rPr>
          <w:lang w:val="fr_FR" w:bidi="fr_FR"/>
        </w:rPr>
      </w:r>
      <w:r>
        <w:rPr>
          <w:lang w:val="fr_FR" w:bidi="fr_FR"/>
        </w:rP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hyperlink r:id="rId59">
        <w:r>
          <w:rPr>
            <w:lang w:val="fr_FR" w:bidi="fr_FR"/>
          </w:rPr>
          <w:rPr>
            <w:color w:val="0000EE"/>
            <w:u w:val="single"/>
          </w:rPr>
          <w:t xml:space="preserve"> Ps 9</w:t>
        </w:r>
      </w:hyperlink>
      <w:r>
        <w:rPr>
          <w:lang w:val="fr_FR" w:bidi="fr_FR"/>
        </w:rPr>
        <w:t xml:space="preserve"> et </w:t>
      </w:r>
      <w:hyperlink r:id="rId60">
        <w:r>
          <w:rPr>
            <w:lang w:val="fr_FR" w:bidi="fr_FR"/>
          </w:rPr>
          <w:rPr>
            <w:color w:val="0000EE"/>
            <w:u w:val="single"/>
          </w:rPr>
          <w:t>10</w:t>
        </w:r>
      </w:hyperlink>
      <w:r>
        <w:rPr>
          <w:lang w:val="fr_FR" w:bidi="fr_FR"/>
        </w:rPr>
        <w:t xml:space="preserve"> et les</w:t>
      </w:r>
      <w:hyperlink r:id="rId61">
        <w:r>
          <w:rPr>
            <w:lang w:val="fr_FR" w:bidi="fr_FR"/>
          </w:rPr>
          <w:rPr>
            <w:color w:val="0000EE"/>
            <w:u w:val="single"/>
          </w:rPr>
          <w:t xml:space="preserve"> Ps 114</w:t>
        </w:r>
      </w:hyperlink>
      <w:r>
        <w:rPr>
          <w:lang w:val="fr_FR" w:bidi="fr_FR"/>
        </w:rPr>
        <w:t xml:space="preserve"> et </w:t>
      </w:r>
      <w:hyperlink r:id="rId62">
        <w:r>
          <w:rPr>
            <w:lang w:val="fr_FR" w:bidi="fr_FR"/>
          </w:rPr>
          <w:rPr>
            <w:color w:val="0000EE"/>
            <w:u w:val="single"/>
          </w:rPr>
          <w:t>115</w:t>
        </w:r>
      </w:hyperlink>
      <w:r>
        <w:rPr>
          <w:lang w:val="fr_FR" w:bidi="fr_FR"/>
        </w:rPr>
        <w:t>, alors qu’il divise en deux les</w:t>
      </w:r>
      <w:hyperlink r:id="rId63">
        <w:r>
          <w:rPr>
            <w:lang w:val="fr_FR" w:bidi="fr_FR"/>
          </w:rPr>
          <w:rPr>
            <w:color w:val="0000EE"/>
            <w:u w:val="single"/>
          </w:rPr>
          <w:t xml:space="preserve"> Ps 116</w:t>
        </w:r>
      </w:hyperlink>
      <w:r>
        <w:rPr>
          <w:lang w:val="fr_FR" w:bidi="fr_FR"/>
        </w:rPr>
        <w:t xml:space="preserve"> et </w:t>
      </w:r>
      <w:hyperlink r:id="rId64">
        <w:r>
          <w:rPr>
            <w:lang w:val="fr_FR" w:bidi="fr_FR"/>
          </w:rPr>
          <w:rPr>
            <w:color w:val="0000EE"/>
            <w:u w:val="single"/>
          </w:rPr>
          <w:t>147</w:t>
        </w:r>
      </w:hyperlink>
      <w:r>
        <w:rPr>
          <w:lang w:val="fr_FR" w:bidi="fr_FR"/>
        </w:rPr>
        <w:t>. Les différences de numérotation entre les textes hébraïque et français sont souvent indiquées dans les annotations.</w:t>
      </w:r>
    </w:p>
    <w:p>
      <w:pPr/>
      <w:r>
        <w:rPr>
          <w:lang w:val="fr_FR" w:bidi="fr_FR"/>
        </w:rPr>
      </w:r>
      <w:r>
        <w:rPr>
          <w:lang w:val="fr_FR" w:bidi="fr_FR"/>
        </w:rPr>
        <w:t xml:space="preserve">À l’époque de Jésus, le Psautier dans sa forme rassemblée était bien connu (voir </w:t>
      </w:r>
      <w:hyperlink r:id="rId65">
        <w:r>
          <w:rPr>
            <w:lang w:val="fr_FR" w:bidi="fr_FR"/>
          </w:rPr>
          <w:rPr>
            <w:color w:val="0000EE"/>
            <w:u w:val="single"/>
          </w:rPr>
          <w:t>Lc 20.42</w:t>
        </w:r>
      </w:hyperlink>
      <w:r>
        <w:rPr>
          <w:lang w:val="fr_FR" w:bidi="fr_FR"/>
        </w:rPr>
        <w:t xml:space="preserve"> ; </w:t>
      </w:r>
      <w:hyperlink r:id="rId66">
        <w:r>
          <w:rPr>
            <w:lang w:val="fr_FR" w:bidi="fr_FR"/>
          </w:rPr>
          <w:rPr>
            <w:color w:val="0000EE"/>
            <w:u w:val="single"/>
          </w:rPr>
          <w:t>Ac 1.20</w:t>
        </w:r>
      </w:hyperlink>
      <w:r>
        <w:rPr>
          <w:lang w:val="fr_FR" w:bidi="fr_FR"/>
        </w:rPr>
        <w:t xml:space="preserve">). Il faisait partie de la troisième section du canon hébraïque, connue sous le nom des Écrits (ou parfois directement appelé les psaumes, voir </w:t>
      </w:r>
      <w:hyperlink r:id="rId67">
        <w:r>
          <w:rPr>
            <w:lang w:val="fr_FR" w:bidi="fr_FR"/>
          </w:rPr>
          <w:rPr>
            <w:color w:val="0000EE"/>
            <w:u w:val="single"/>
          </w:rPr>
          <w:t>Lc 24.44</w:t>
        </w:r>
      </w:hyperlink>
      <w:r>
        <w:rPr>
          <w:lang w:val="fr_FR" w:bidi="fr_FR"/>
        </w:rPr>
        <w:t>).</w:t>
      </w:r>
    </w:p>
    <w:p>
      <w:pPr>
        <w:pStyle w:val="Heading2"/>
      </w:pPr>
      <w:r>
        <w:rPr>
          <w:lang w:val="fr_FR" w:bidi="fr_FR"/>
        </w:rPr>
        <w:t>Auteur</w:t>
      </w:r>
    </w:p>
    <w:p>
      <w:pPr/>
      <w:r>
        <w:rPr>
          <w:lang w:val="fr_FR" w:bidi="fr_FR"/>
        </w:rPr>
      </w:r>
      <w:r>
        <w:rPr>
          <w:lang w:val="fr_FR" w:bidi="fr_FR"/>
        </w:rPr>
        <w:t>De nombreux psaumes sont associés à David, mais cette attribution ne concerne pas l’ensemble du recueil ; en réalité, moins de la moitié sont explicitement liés à lui. D’autres psaumes sont attribués à Asaph (</w:t>
      </w:r>
      <w:hyperlink r:id="rId28">
        <w:r>
          <w:rPr>
            <w:lang w:val="fr_FR" w:bidi="fr_FR"/>
          </w:rPr>
          <w:rPr>
            <w:color w:val="0000EE"/>
            <w:u w:val="single"/>
          </w:rPr>
          <w:t>Ps 50</w:t>
        </w:r>
      </w:hyperlink>
      <w:r>
        <w:rPr>
          <w:lang w:val="fr_FR" w:bidi="fr_FR"/>
        </w:rPr>
        <w:t xml:space="preserve"> ; </w:t>
      </w:r>
      <w:hyperlink r:id="rId34">
        <w:r>
          <w:rPr>
            <w:lang w:val="fr_FR" w:bidi="fr_FR"/>
          </w:rPr>
          <w:rPr>
            <w:color w:val="0000EE"/>
            <w:u w:val="single"/>
          </w:rPr>
          <w:t>73–83</w:t>
        </w:r>
      </w:hyperlink>
      <w:r>
        <w:rPr>
          <w:lang w:val="fr_FR" w:bidi="fr_FR"/>
        </w:rPr>
        <w:t>), aux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84–85</w:t>
        </w:r>
      </w:hyperlink>
      <w:r>
        <w:rPr>
          <w:lang w:val="fr_FR" w:bidi="fr_FR"/>
        </w:rPr>
        <w:t xml:space="preserve"> ; </w:t>
      </w:r>
      <w:hyperlink r:id="rId68">
        <w:r>
          <w:rPr>
            <w:lang w:val="fr_FR" w:bidi="fr_FR"/>
          </w:rPr>
          <w:rPr>
            <w:color w:val="0000EE"/>
            <w:u w:val="single"/>
          </w:rPr>
          <w:t>87</w:t>
        </w:r>
      </w:hyperlink>
      <w:r>
        <w:rPr>
          <w:lang w:val="fr_FR" w:bidi="fr_FR"/>
        </w:rPr>
        <w:t>), à Salomon (</w:t>
      </w:r>
      <w:hyperlink r:id="rId31">
        <w:r>
          <w:rPr>
            <w:lang w:val="fr_FR" w:bidi="fr_FR"/>
          </w:rPr>
          <w:rPr>
            <w:color w:val="0000EE"/>
            <w:u w:val="single"/>
          </w:rPr>
          <w:t>Ps 72</w:t>
        </w:r>
      </w:hyperlink>
      <w:r>
        <w:rPr>
          <w:lang w:val="fr_FR" w:bidi="fr_FR"/>
        </w:rPr>
        <w:t xml:space="preserve"> ; </w:t>
      </w:r>
      <w:hyperlink r:id="rId69">
        <w:r>
          <w:rPr>
            <w:lang w:val="fr_FR" w:bidi="fr_FR"/>
          </w:rPr>
          <w:rPr>
            <w:color w:val="0000EE"/>
            <w:u w:val="single"/>
          </w:rPr>
          <w:t>127</w:t>
        </w:r>
      </w:hyperlink>
      <w:r>
        <w:rPr>
          <w:lang w:val="fr_FR" w:bidi="fr_FR"/>
        </w:rPr>
        <w:t>), à Héman (</w:t>
      </w:r>
      <w:hyperlink r:id="rId70">
        <w:r>
          <w:rPr>
            <w:lang w:val="fr_FR" w:bidi="fr_FR"/>
          </w:rPr>
          <w:rPr>
            <w:color w:val="0000EE"/>
            <w:u w:val="single"/>
          </w:rPr>
          <w:t>Ps 88</w:t>
        </w:r>
      </w:hyperlink>
      <w:r>
        <w:rPr>
          <w:lang w:val="fr_FR" w:bidi="fr_FR"/>
        </w:rPr>
        <w:t>), à Éthan (</w:t>
      </w:r>
      <w:hyperlink r:id="rId39">
        <w:r>
          <w:rPr>
            <w:lang w:val="fr_FR" w:bidi="fr_FR"/>
          </w:rPr>
          <w:rPr>
            <w:color w:val="0000EE"/>
            <w:u w:val="single"/>
          </w:rPr>
          <w:t>Ps 89</w:t>
        </w:r>
      </w:hyperlink>
      <w:r>
        <w:rPr>
          <w:lang w:val="fr_FR" w:bidi="fr_FR"/>
        </w:rPr>
        <w:t>), ou encore à Moïse (</w:t>
      </w:r>
      <w:hyperlink r:id="rId71">
        <w:r>
          <w:rPr>
            <w:lang w:val="fr_FR" w:bidi="fr_FR"/>
          </w:rPr>
          <w:rPr>
            <w:color w:val="0000EE"/>
            <w:u w:val="single"/>
          </w:rPr>
          <w:t>Ps 90</w:t>
        </w:r>
      </w:hyperlink>
      <w:r>
        <w:rPr>
          <w:lang w:val="fr_FR" w:bidi="fr_FR"/>
        </w:rPr>
        <w:t>).</w:t>
      </w:r>
    </w:p>
    <w:p>
      <w:pPr/>
      <w:r>
        <w:rPr>
          <w:lang w:val="fr_FR" w:bidi="fr_FR"/>
        </w:rPr>
      </w:r>
      <w:r>
        <w:rPr>
          <w:lang w:val="fr_FR" w:bidi="fr_FR"/>
        </w:rPr>
        <w:t xml:space="preserve">Parmi les 116 psaumes qui comportent un titre, la plupart mentionne une personne liée au psaume. Toutefois, la personne indiquée n’est pas nécessairement l’auteur. En effet, la préposition hébraïque </w:t>
      </w:r>
      <w:r>
        <w:rPr>
          <w:i/>
          <w:lang w:val="fr_FR" w:bidi="fr_FR"/>
        </w:rPr>
        <w:t>le</w:t>
      </w:r>
      <w:r>
        <w:rPr>
          <w:lang w:val="fr_FR" w:bidi="fr_FR"/>
        </w:rPr>
        <w:t xml:space="preserve"> placée devant un nom, souvent traduite par « de », peut aussi signifier « pour », « dédié à », « concernant », « à » ou même « par ». Ainsi, </w:t>
      </w:r>
      <w:r>
        <w:rPr>
          <w:i/>
          <w:lang w:val="fr_FR" w:bidi="fr_FR"/>
        </w:rPr>
        <w:t>ledawid</w:t>
      </w:r>
      <w:r>
        <w:rPr>
          <w:lang w:val="fr_FR" w:bidi="fr_FR"/>
        </w:rPr>
        <w:t xml:space="preserve"> (généralement rendu par « de David ») peut tout aussi bien se traduit par : « dédié à David », « pour David », « concernant David » ou « par David ».</w:t>
      </w:r>
    </w:p>
    <w:p>
      <w:pPr/>
      <w:r>
        <w:rPr>
          <w:lang w:val="fr_FR" w:bidi="fr_FR"/>
        </w:rPr>
      </w:r>
      <w:r>
        <w:rPr>
          <w:lang w:val="fr_FR" w:bidi="fr_FR"/>
        </w:rPr>
        <w:t>Bien que de nombreux psaumes dits « de David » aient effectivement pu être rédigés par lui, plusieurs éléments appellent à la prudence. Certains titres comportent deux noms, comme David et Jeduthun ou Asaph (</w:t>
      </w:r>
      <w:hyperlink r:id="rId72">
        <w:r>
          <w:rPr>
            <w:lang w:val="fr_FR" w:bidi="fr_FR"/>
          </w:rPr>
          <w:rPr>
            <w:color w:val="0000EE"/>
            <w:u w:val="single"/>
          </w:rPr>
          <w:t>Ps 39</w:t>
        </w:r>
      </w:hyperlink>
      <w:r>
        <w:rPr>
          <w:lang w:val="fr_FR" w:bidi="fr_FR"/>
        </w:rPr>
        <w:t xml:space="preserve">, </w:t>
      </w:r>
      <w:hyperlink r:id="rId73">
        <w:r>
          <w:rPr>
            <w:lang w:val="fr_FR" w:bidi="fr_FR"/>
          </w:rPr>
          <w:rPr>
            <w:color w:val="0000EE"/>
            <w:u w:val="single"/>
          </w:rPr>
          <w:t>62</w:t>
        </w:r>
      </w:hyperlink>
      <w:r>
        <w:rPr>
          <w:lang w:val="fr_FR" w:bidi="fr_FR"/>
        </w:rPr>
        <w:t xml:space="preserve">, </w:t>
      </w:r>
      <w:hyperlink r:id="rId74">
        <w:r>
          <w:rPr>
            <w:lang w:val="fr_FR" w:bidi="fr_FR"/>
          </w:rPr>
          <w:rPr>
            <w:color w:val="0000EE"/>
            <w:u w:val="single"/>
          </w:rPr>
          <w:t>77</w:t>
        </w:r>
      </w:hyperlink>
      <w:r>
        <w:rPr>
          <w:lang w:val="fr_FR" w:bidi="fr_FR"/>
        </w:rPr>
        <w:t>). Il est ainsi possible que l'autre individu soit le véritable auteur du psaume. Par ailleurs, certains psaumes reliés à un épisode particulier de la vie de David (</w:t>
      </w:r>
      <w:hyperlink r:id="rId75">
        <w:r>
          <w:rPr>
            <w:lang w:val="fr_FR" w:bidi="fr_FR"/>
          </w:rPr>
          <w:rPr>
            <w:color w:val="0000EE"/>
            <w:u w:val="single"/>
          </w:rPr>
          <w:t>Ps 3</w:t>
        </w:r>
      </w:hyperlink>
      <w:r>
        <w:rPr>
          <w:lang w:val="fr_FR" w:bidi="fr_FR"/>
        </w:rPr>
        <w:t xml:space="preserve">, </w:t>
      </w:r>
      <w:hyperlink r:id="rId76">
        <w:r>
          <w:rPr>
            <w:lang w:val="fr_FR" w:bidi="fr_FR"/>
          </w:rPr>
          <w:rPr>
            <w:color w:val="0000EE"/>
            <w:u w:val="single"/>
          </w:rPr>
          <w:t>7</w:t>
        </w:r>
      </w:hyperlink>
      <w:r>
        <w:rPr>
          <w:lang w:val="fr_FR" w:bidi="fr_FR"/>
        </w:rPr>
        <w:t xml:space="preserve">, </w:t>
      </w:r>
      <w:hyperlink r:id="rId77">
        <w:r>
          <w:rPr>
            <w:lang w:val="fr_FR" w:bidi="fr_FR"/>
          </w:rPr>
          <w:rPr>
            <w:color w:val="0000EE"/>
            <w:u w:val="single"/>
          </w:rPr>
          <w:t>18</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79">
        <w:r>
          <w:rPr>
            <w:lang w:val="fr_FR" w:bidi="fr_FR"/>
          </w:rPr>
          <w:rPr>
            <w:color w:val="0000EE"/>
            <w:u w:val="single"/>
          </w:rPr>
          <w:t>51</w:t>
        </w:r>
      </w:hyperlink>
      <w:r>
        <w:rPr>
          <w:lang w:val="fr_FR" w:bidi="fr_FR"/>
        </w:rPr>
        <w:t xml:space="preserve">, </w:t>
      </w:r>
      <w:hyperlink r:id="rId80">
        <w:r>
          <w:rPr>
            <w:lang w:val="fr_FR" w:bidi="fr_FR"/>
          </w:rPr>
          <w:rPr>
            <w:color w:val="0000EE"/>
            <w:u w:val="single"/>
          </w:rPr>
          <w:t>52</w:t>
        </w:r>
      </w:hyperlink>
      <w:r>
        <w:rPr>
          <w:lang w:val="fr_FR" w:bidi="fr_FR"/>
        </w:rPr>
        <w:t xml:space="preserve">, </w:t>
      </w:r>
      <w:hyperlink r:id="rId81">
        <w:r>
          <w:rPr>
            <w:lang w:val="fr_FR" w:bidi="fr_FR"/>
          </w:rPr>
          <w:rPr>
            <w:color w:val="0000EE"/>
            <w:u w:val="single"/>
          </w:rPr>
          <w:t>54</w:t>
        </w:r>
      </w:hyperlink>
      <w:r>
        <w:rPr>
          <w:lang w:val="fr_FR" w:bidi="fr_FR"/>
        </w:rPr>
        <w:t xml:space="preserve">, </w:t>
      </w:r>
      <w:hyperlink r:id="rId82">
        <w:r>
          <w:rPr>
            <w:lang w:val="fr_FR" w:bidi="fr_FR"/>
          </w:rPr>
          <w:rPr>
            <w:color w:val="0000EE"/>
            <w:u w:val="single"/>
          </w:rPr>
          <w:t>56</w:t>
        </w:r>
      </w:hyperlink>
      <w:r>
        <w:rPr>
          <w:lang w:val="fr_FR" w:bidi="fr_FR"/>
        </w:rPr>
        <w:t xml:space="preserve">, </w:t>
      </w:r>
      <w:hyperlink r:id="rId83">
        <w:r>
          <w:rPr>
            <w:lang w:val="fr_FR" w:bidi="fr_FR"/>
          </w:rPr>
          <w:rPr>
            <w:color w:val="0000EE"/>
            <w:u w:val="single"/>
          </w:rPr>
          <w:t>57</w:t>
        </w:r>
      </w:hyperlink>
      <w:r>
        <w:rPr>
          <w:lang w:val="fr_FR" w:bidi="fr_FR"/>
        </w:rPr>
        <w:t xml:space="preserve">, </w:t>
      </w:r>
      <w:hyperlink r:id="rId84">
        <w:r>
          <w:rPr>
            <w:lang w:val="fr_FR" w:bidi="fr_FR"/>
          </w:rPr>
          <w:rPr>
            <w:color w:val="0000EE"/>
            <w:u w:val="single"/>
          </w:rPr>
          <w:t>59</w:t>
        </w:r>
      </w:hyperlink>
      <w:r>
        <w:rPr>
          <w:lang w:val="fr_FR" w:bidi="fr_FR"/>
        </w:rPr>
        <w:t xml:space="preserve">, </w:t>
      </w:r>
      <w:hyperlink r:id="rId85">
        <w:r>
          <w:rPr>
            <w:lang w:val="fr_FR" w:bidi="fr_FR"/>
          </w:rPr>
          <w:rPr>
            <w:color w:val="0000EE"/>
            <w:u w:val="single"/>
          </w:rPr>
          <w:t>60</w:t>
        </w:r>
      </w:hyperlink>
      <w:r>
        <w:rPr>
          <w:lang w:val="fr_FR" w:bidi="fr_FR"/>
        </w:rPr>
        <w:t xml:space="preserve">, </w:t>
      </w:r>
      <w:hyperlink r:id="rId86">
        <w:r>
          <w:rPr>
            <w:lang w:val="fr_FR" w:bidi="fr_FR"/>
          </w:rPr>
          <w:rPr>
            <w:color w:val="0000EE"/>
            <w:u w:val="single"/>
          </w:rPr>
          <w:t>63</w:t>
        </w:r>
      </w:hyperlink>
      <w:r>
        <w:rPr>
          <w:lang w:val="fr_FR" w:bidi="fr_FR"/>
        </w:rPr>
        <w:t xml:space="preserve">, </w:t>
      </w:r>
      <w:hyperlink r:id="rId87">
        <w:r>
          <w:rPr>
            <w:lang w:val="fr_FR" w:bidi="fr_FR"/>
          </w:rPr>
          <w:rPr>
            <w:color w:val="0000EE"/>
            <w:u w:val="single"/>
          </w:rPr>
          <w:t>142</w:t>
        </w:r>
      </w:hyperlink>
      <w:r>
        <w:rPr>
          <w:lang w:val="fr_FR" w:bidi="fr_FR"/>
        </w:rPr>
        <w:t xml:space="preserve">) donnent peu ou pas de ldétail précis permettant de relier le texte à cet épisode. Par exemple, le titre du </w:t>
      </w:r>
      <w:hyperlink r:id="rId79">
        <w:r>
          <w:rPr>
            <w:lang w:val="fr_FR" w:bidi="fr_FR"/>
          </w:rPr>
          <w:rPr>
            <w:color w:val="0000EE"/>
            <w:u w:val="single"/>
          </w:rPr>
          <w:t>Ps 51</w:t>
        </w:r>
      </w:hyperlink>
      <w:r>
        <w:rPr>
          <w:lang w:val="fr_FR" w:bidi="fr_FR"/>
        </w:rP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hyperlink r:id="rId88">
        <w:r>
          <w:rPr>
            <w:lang w:val="fr_FR" w:bidi="fr_FR"/>
          </w:rPr>
          <w:rPr>
            <w:color w:val="0000EE"/>
            <w:u w:val="single"/>
          </w:rPr>
          <w:t xml:space="preserve">Ps 5.7 </w:t>
        </w:r>
      </w:hyperlink>
      <w:r>
        <w:rPr>
          <w:lang w:val="fr_FR" w:bidi="fr_FR"/>
        </w:rPr>
        <w:t xml:space="preserve">; </w:t>
      </w:r>
      <w:hyperlink r:id="rId89">
        <w:r>
          <w:rPr>
            <w:lang w:val="fr_FR" w:bidi="fr_FR"/>
          </w:rPr>
          <w:rPr>
            <w:color w:val="0000EE"/>
            <w:u w:val="single"/>
          </w:rPr>
          <w:t xml:space="preserve">122.1 </w:t>
        </w:r>
      </w:hyperlink>
      <w:r>
        <w:rPr>
          <w:lang w:val="fr_FR" w:bidi="fr_FR"/>
        </w:rPr>
        <w:t xml:space="preserve">; </w:t>
      </w:r>
      <w:hyperlink r:id="rId90">
        <w:r>
          <w:rPr>
            <w:lang w:val="fr_FR" w:bidi="fr_FR"/>
          </w:rPr>
          <w:rPr>
            <w:color w:val="0000EE"/>
            <w:u w:val="single"/>
          </w:rPr>
          <w:t>138.2</w:t>
        </w:r>
      </w:hyperlink>
      <w:r>
        <w:rPr>
          <w:lang w:val="fr_FR" w:bidi="fr_FR"/>
        </w:rPr>
        <w:t xml:space="preserve">). De même, le titre du </w:t>
      </w:r>
      <w:hyperlink r:id="rId91">
        <w:r>
          <w:rPr>
            <w:lang w:val="fr_FR" w:bidi="fr_FR"/>
          </w:rPr>
          <w:rPr>
            <w:color w:val="0000EE"/>
            <w:u w:val="single"/>
          </w:rPr>
          <w:t>Ps 30</w:t>
        </w:r>
      </w:hyperlink>
      <w:r>
        <w:rPr>
          <w:lang w:val="fr_FR" w:bidi="fr_FR"/>
        </w:rPr>
        <w:t xml:space="preserve"> associe David à la dédicace du temple, alors que le contenu du </w:t>
      </w:r>
      <w:hyperlink r:id="rId92">
        <w:r>
          <w:rPr>
            <w:lang w:val="fr_FR" w:bidi="fr_FR"/>
          </w:rPr>
          <w:rPr>
            <w:color w:val="0000EE"/>
            <w:u w:val="single"/>
          </w:rPr>
          <w:t>Ps 69</w:t>
        </w:r>
      </w:hyperlink>
      <w:r>
        <w:rPr>
          <w:lang w:val="fr_FR" w:bidi="fr_FR"/>
        </w:rPr>
        <w:t xml:space="preserve"> ne semble pas correspondre à ce que l'on sait de la vie de David. Enfin, certaines traditions textuelles divergent quant à la mention de David dans l'en-tête (par ex., </w:t>
      </w:r>
      <w:hyperlink r:id="rId93">
        <w:r>
          <w:rPr>
            <w:lang w:val="fr_FR" w:bidi="fr_FR"/>
          </w:rPr>
          <w:rPr>
            <w:color w:val="0000EE"/>
            <w:u w:val="single"/>
          </w:rPr>
          <w:t>Ps 122</w:t>
        </w:r>
      </w:hyperlink>
      <w:r>
        <w:rPr>
          <w:lang w:val="fr_FR" w:bidi="fr_FR"/>
        </w:rPr>
        <w:t xml:space="preserve">, </w:t>
      </w:r>
      <w:hyperlink r:id="rId94">
        <w:r>
          <w:rPr>
            <w:lang w:val="fr_FR" w:bidi="fr_FR"/>
          </w:rPr>
          <w:rPr>
            <w:color w:val="0000EE"/>
            <w:u w:val="single"/>
          </w:rPr>
          <w:t>124</w:t>
        </w:r>
      </w:hyperlink>
      <w:r>
        <w:rPr>
          <w:lang w:val="fr_FR" w:bidi="fr_FR"/>
        </w:rPr>
        <w:t xml:space="preserve">). Il reste donc possible que </w:t>
      </w:r>
      <w:r>
        <w:rPr>
          <w:i/>
          <w:lang w:val="fr_FR" w:bidi="fr_FR"/>
        </w:rPr>
        <w:t>ledawid</w:t>
      </w:r>
      <w:r>
        <w:rPr>
          <w:lang w:val="fr_FR" w:bidi="fr_FR"/>
        </w:rP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2"/>
      </w:pPr>
      <w:r>
        <w:rPr>
          <w:lang w:val="fr_FR" w:bidi="fr_FR"/>
        </w:rPr>
        <w:t>Problèmes littéraires</w:t>
      </w:r>
    </w:p>
    <w:p>
      <w:pPr/>
      <w:r>
        <w:rPr>
          <w:lang w:val="fr_FR" w:bidi="fr_FR"/>
        </w:rPr>
      </w:r>
      <w:r>
        <w:rPr>
          <w:lang w:val="fr_FR" w:bidi="fr_FR"/>
        </w:rPr>
        <w:t xml:space="preserve">Le titre </w:t>
      </w:r>
      <w:r>
        <w:rPr>
          <w:i/>
          <w:lang w:val="fr_FR" w:bidi="fr_FR"/>
        </w:rPr>
        <w:t>Psaumes</w:t>
      </w:r>
      <w:r>
        <w:rPr>
          <w:lang w:val="fr_FR" w:bidi="fr_FR"/>
        </w:rPr>
        <w:t xml:space="preserve"> provient du mot grec </w:t>
      </w:r>
      <w:r>
        <w:rPr>
          <w:i/>
          <w:lang w:val="fr_FR" w:bidi="fr_FR"/>
        </w:rPr>
        <w:t xml:space="preserve">psalmos </w:t>
      </w:r>
      <w:r>
        <w:rPr>
          <w:lang w:val="fr_FR" w:bidi="fr_FR"/>
        </w:rPr>
        <w:t xml:space="preserve">(« chant » ; voir </w:t>
      </w:r>
      <w:hyperlink r:id="rId65">
        <w:r>
          <w:rPr>
            <w:lang w:val="fr_FR" w:bidi="fr_FR"/>
          </w:rPr>
          <w:rPr>
            <w:color w:val="0000EE"/>
            <w:u w:val="single"/>
          </w:rPr>
          <w:t>Lc 20.42</w:t>
        </w:r>
      </w:hyperlink>
      <w:r>
        <w:rPr>
          <w:lang w:val="fr_FR" w:bidi="fr_FR"/>
        </w:rPr>
        <w:t xml:space="preserve"> ; </w:t>
      </w:r>
      <w:hyperlink r:id="rId67">
        <w:r>
          <w:rPr>
            <w:lang w:val="fr_FR" w:bidi="fr_FR"/>
          </w:rPr>
          <w:rPr>
            <w:color w:val="0000EE"/>
            <w:u w:val="single"/>
          </w:rPr>
          <w:t>24.44</w:t>
        </w:r>
      </w:hyperlink>
      <w:r>
        <w:rPr>
          <w:lang w:val="fr_FR" w:bidi="fr_FR"/>
        </w:rPr>
        <w:t xml:space="preserve">), qui traduit le mot hébreu </w:t>
      </w:r>
      <w:r>
        <w:rPr>
          <w:i/>
          <w:lang w:val="fr_FR" w:bidi="fr_FR"/>
        </w:rPr>
        <w:t>mizmor</w:t>
      </w:r>
      <w:r>
        <w:rPr>
          <w:lang w:val="fr_FR" w:bidi="fr_FR"/>
        </w:rPr>
        <w:t xml:space="preserve">. Ce terme apparaît fréquemment dans les titres des psaumes individuels (par ex., </w:t>
      </w:r>
      <w:hyperlink r:id="rId95">
        <w:r>
          <w:rPr>
            <w:lang w:val="fr_FR" w:bidi="fr_FR"/>
          </w:rPr>
          <w:rPr>
            <w:color w:val="0000EE"/>
            <w:u w:val="single"/>
          </w:rPr>
          <w:t>Ps 3.1–2</w:t>
        </w:r>
      </w:hyperlink>
      <w:r>
        <w:rPr>
          <w:lang w:val="fr_FR" w:bidi="fr_FR"/>
        </w:rPr>
        <w:t xml:space="preserve">, souvent rendu par « psaume »). Le mot </w:t>
      </w:r>
      <w:r>
        <w:rPr>
          <w:i/>
          <w:lang w:val="fr_FR" w:bidi="fr_FR"/>
        </w:rPr>
        <w:t>mizmor</w:t>
      </w:r>
      <w:r>
        <w:rPr>
          <w:lang w:val="fr_FR" w:bidi="fr_FR"/>
        </w:rP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lang w:val="fr_FR" w:bidi="fr_FR"/>
        </w:rPr>
        <w:t>tehillim</w:t>
      </w:r>
      <w:r>
        <w:rPr>
          <w:lang w:val="fr_FR" w:bidi="fr_FR"/>
        </w:rPr>
        <w:t xml:space="preserve"> (« louanges »), un mot dérivé de la même racine que </w:t>
      </w:r>
      <w:r>
        <w:rPr>
          <w:i/>
          <w:lang w:val="fr_FR" w:bidi="fr_FR"/>
        </w:rPr>
        <w:t>hallelujah</w:t>
      </w:r>
      <w:r>
        <w:rPr>
          <w:lang w:val="fr_FR" w:bidi="fr_FR"/>
        </w:rPr>
        <w:t>, signifiant « louez Yahweh »</w:t>
      </w:r>
    </w:p>
    <w:p>
      <w:pPr/>
      <w:r>
        <w:rPr>
          <w:lang w:val="fr_FR" w:bidi="fr_FR"/>
        </w:rPr>
      </w:r>
      <w:r>
        <w:rPr>
          <w:lang w:val="fr_FR" w:bidi="fr_FR"/>
        </w:rP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pPr/>
      <w:r>
        <w:rPr>
          <w:lang w:val="fr_FR" w:bidi="fr_FR"/>
        </w:rPr>
      </w:r>
      <w:r>
        <w:rPr>
          <w:lang w:val="fr_FR" w:bidi="fr_FR"/>
        </w:rPr>
        <w:t>Dans les éditions hébraïques, ces titres sont généralement comptés comme étant le premier verset. Cela provoque un décalage dans la numérotation des versets entre les textes hébreux et la plupart des traductions françaises.</w:t>
      </w:r>
    </w:p>
    <w:p>
      <w:pPr/>
      <w:r>
        <w:rPr>
          <w:lang w:val="fr_FR" w:bidi="fr_FR"/>
        </w:rPr>
      </w:r>
      <w:r>
        <w:rPr>
          <w:lang w:val="fr_FR" w:bidi="fr_FR"/>
        </w:rPr>
        <w:t>Interlude (hébreu</w:t>
      </w:r>
      <w:r>
        <w:rPr>
          <w:i/>
          <w:lang w:val="fr_FR" w:bidi="fr_FR"/>
        </w:rPr>
        <w:t xml:space="preserve"> Sélah</w:t>
      </w:r>
      <w:r>
        <w:rPr>
          <w:lang w:val="fr_FR" w:bidi="fr_FR"/>
        </w:rPr>
        <w:t xml:space="preserve">) : ce terme revient régulièrement dans le livre des Psaumes. Sa signification exacte demeure inconnue, bien qu’il soit probablement d’origine musicale ou liturgique. Certaines traductions modernes le traduise par </w:t>
      </w:r>
      <w:r>
        <w:rPr>
          <w:i/>
          <w:lang w:val="fr_FR" w:bidi="fr_FR"/>
        </w:rPr>
        <w:t>interlude</w:t>
      </w:r>
      <w:r>
        <w:rPr>
          <w:lang w:val="fr_FR" w:bidi="fr_FR"/>
        </w:rPr>
        <w:t>.</w:t>
      </w:r>
    </w:p>
    <w:p>
      <w:pPr/>
      <w:r>
        <w:rPr>
          <w:lang w:val="fr_FR" w:bidi="fr_FR"/>
        </w:rPr>
      </w:r>
      <w:r>
        <w:rPr>
          <w:lang w:val="fr_FR" w:bidi="fr_FR"/>
        </w:rPr>
        <w:t>Regroupements des Psaumes : les psaumes peuvent être classés de différentes manières :</w:t>
      </w:r>
    </w:p>
    <w:p>
      <w:pPr>
        <w:pStyle w:val="ListBullet"/>
        <w:spacing w:line="240" w:lineRule="auto"/>
        <w:ind w:left="720"/>
      </w:pPr>
      <w:r>
        <w:rPr>
          <w:lang w:val="fr_FR" w:bidi="fr_FR"/>
        </w:rPr>
      </w:r>
      <w:r>
        <w:rPr>
          <w:lang w:val="fr_FR" w:bidi="fr_FR"/>
        </w:rPr>
        <w:t xml:space="preserve">Par le nom qu’ils utilisent pour désigner Dieu : </w:t>
      </w:r>
      <w:r>
        <w:rPr>
          <w:i/>
          <w:lang w:val="fr_FR" w:bidi="fr_FR"/>
        </w:rPr>
        <w:t xml:space="preserve">Yahweh </w:t>
      </w:r>
      <w:r>
        <w:rPr>
          <w:lang w:val="fr_FR" w:bidi="fr_FR"/>
        </w:rPr>
        <w:t>(« l'</w:t>
        <w:br/>
      </w:r>
      <w:r>
        <w:rPr>
          <w:lang w:val="fr_FR" w:bidi="fr_FR"/>
        </w:rPr>
        <w:t>É</w:t>
      </w:r>
      <w:r>
        <w:rPr>
          <w:lang w:val="fr_FR" w:bidi="fr_FR"/>
        </w:rPr>
        <w:t xml:space="preserve">ternel », </w:t>
      </w:r>
      <w:hyperlink r:id="rId16">
        <w:r>
          <w:rPr>
            <w:lang w:val="fr_FR" w:bidi="fr_FR"/>
          </w:rPr>
          <w:rPr>
            <w:color w:val="0000EE"/>
            <w:u w:val="single"/>
          </w:rPr>
          <w:t>Ps 1–41</w:t>
        </w:r>
      </w:hyperlink>
      <w:r>
        <w:rPr>
          <w:lang w:val="fr_FR" w:bidi="fr_FR"/>
        </w:rPr>
        <w:t xml:space="preserve">) et </w:t>
      </w:r>
      <w:r>
        <w:rPr>
          <w:i/>
          <w:lang w:val="fr_FR" w:bidi="fr_FR"/>
        </w:rPr>
        <w:t>Elohim</w:t>
      </w:r>
      <w:r>
        <w:rPr>
          <w:lang w:val="fr_FR" w:bidi="fr_FR"/>
        </w:rPr>
        <w:t xml:space="preserve"> (« Dieu », </w:t>
      </w:r>
      <w:hyperlink r:id="rId18">
        <w:r>
          <w:rPr>
            <w:lang w:val="fr_FR" w:bidi="fr_FR"/>
          </w:rPr>
          <w:rPr>
            <w:color w:val="0000EE"/>
            <w:u w:val="single"/>
          </w:rPr>
          <w:t>Ps 42–72</w:t>
        </w:r>
      </w:hyperlink>
      <w:r>
        <w:rPr>
          <w:lang w:val="fr_FR" w:bidi="fr_FR"/>
        </w:rPr>
        <w:t>).</w:t>
      </w:r>
    </w:p>
    <w:p>
      <w:pPr>
        <w:pStyle w:val="ListBullet"/>
        <w:spacing w:line="240" w:lineRule="auto"/>
        <w:ind w:left="720"/>
      </w:pPr>
      <w:r>
        <w:rPr>
          <w:lang w:val="fr_FR" w:bidi="fr_FR"/>
        </w:rPr>
      </w:r>
      <w:r>
        <w:rPr>
          <w:lang w:val="fr_FR" w:bidi="fr_FR"/>
        </w:rPr>
        <w:t>Par les noms mentionnés dans leurs titres : David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34.1–41.13</w:t>
        </w:r>
      </w:hyperlink>
      <w:r>
        <w:rPr>
          <w:lang w:val="fr_FR" w:bidi="fr_FR"/>
        </w:rPr>
        <w:t>, etc.), les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84.1–85.13</w:t>
        </w:r>
      </w:hyperlink>
      <w:r>
        <w:rPr>
          <w:lang w:val="fr_FR" w:bidi="fr_FR"/>
        </w:rPr>
        <w:t xml:space="preserve"> ; </w:t>
      </w:r>
      <w:hyperlink r:id="rId36">
        <w:r>
          <w:rPr>
            <w:lang w:val="fr_FR" w:bidi="fr_FR"/>
          </w:rPr>
          <w:rPr>
            <w:color w:val="0000EE"/>
            <w:u w:val="single"/>
          </w:rPr>
          <w:t>87.1–88.18</w:t>
        </w:r>
      </w:hyperlink>
      <w:r>
        <w:rPr>
          <w:lang w:val="fr_FR" w:bidi="fr_FR"/>
        </w:rPr>
        <w:t>), ou Asaph (</w:t>
      </w:r>
      <w:hyperlink r:id="rId28">
        <w:r>
          <w:rPr>
            <w:lang w:val="fr_FR" w:bidi="fr_FR"/>
          </w:rPr>
          <w:rPr>
            <w:color w:val="0000EE"/>
            <w:u w:val="single"/>
          </w:rPr>
          <w:t>Ps 50</w:t>
        </w:r>
      </w:hyperlink>
      <w:r>
        <w:rPr>
          <w:lang w:val="fr_FR" w:bidi="fr_FR"/>
        </w:rPr>
        <w:t xml:space="preserve">, </w:t>
      </w:r>
      <w:hyperlink r:id="rId34">
        <w:r>
          <w:rPr>
            <w:lang w:val="fr_FR" w:bidi="fr_FR"/>
          </w:rPr>
          <w:rPr>
            <w:color w:val="0000EE"/>
            <w:u w:val="single"/>
          </w:rPr>
          <w:t>73–83</w:t>
        </w:r>
      </w:hyperlink>
      <w:r>
        <w:rPr>
          <w:lang w:val="fr_FR" w:bidi="fr_FR"/>
        </w:rPr>
        <w:t>).</w:t>
      </w:r>
    </w:p>
    <w:p>
      <w:pPr>
        <w:pStyle w:val="ListBullet"/>
        <w:spacing w:line="240" w:lineRule="auto"/>
        <w:ind w:left="720"/>
      </w:pPr>
      <w:r>
        <w:rPr>
          <w:lang w:val="fr_FR" w:bidi="fr_FR"/>
        </w:rPr>
      </w:r>
      <w:r>
        <w:rPr>
          <w:lang w:val="fr_FR" w:bidi="fr_FR"/>
        </w:rPr>
        <w:t>Par genre littéraire (voir ci-dessous).</w:t>
      </w:r>
    </w:p>
    <w:p>
      <w:pPr>
        <w:pStyle w:val="ListBullet"/>
        <w:spacing w:line="240" w:lineRule="auto"/>
        <w:ind w:left="720"/>
      </w:pPr>
      <w:r>
        <w:rPr>
          <w:lang w:val="fr_FR" w:bidi="fr_FR"/>
        </w:rPr>
      </w:r>
      <w:r>
        <w:rPr>
          <w:lang w:val="fr_FR" w:bidi="fr_FR"/>
        </w:rPr>
        <w:t xml:space="preserve">Par collections thématiques : certaines étaient déjà intégrées, comme les </w:t>
      </w:r>
      <w:r>
        <w:rPr>
          <w:i/>
          <w:lang w:val="fr_FR" w:bidi="fr_FR"/>
        </w:rPr>
        <w:t>Cantiques des montées</w:t>
      </w:r>
      <w:r>
        <w:rPr>
          <w:lang w:val="fr_FR" w:bidi="fr_FR"/>
        </w:rPr>
        <w:t xml:space="preserve"> (</w:t>
      </w:r>
      <w:hyperlink r:id="rId49">
        <w:r>
          <w:rPr>
            <w:lang w:val="fr_FR" w:bidi="fr_FR"/>
          </w:rPr>
          <w:rPr>
            <w:color w:val="0000EE"/>
            <w:u w:val="single"/>
          </w:rPr>
          <w:t>Ps 120–134</w:t>
        </w:r>
      </w:hyperlink>
      <w:r>
        <w:rPr>
          <w:lang w:val="fr_FR" w:bidi="fr_FR"/>
        </w:rPr>
        <w:t xml:space="preserve">). D'autres collections ont été reconnues dans la tradition juive, telles que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et les hymnes de louange (</w:t>
      </w:r>
      <w:hyperlink r:id="rId51">
        <w:r>
          <w:rPr>
            <w:lang w:val="fr_FR" w:bidi="fr_FR"/>
          </w:rPr>
          <w:rPr>
            <w:color w:val="0000EE"/>
            <w:u w:val="single"/>
          </w:rPr>
          <w:t>Ps 146–150</w:t>
        </w:r>
      </w:hyperlink>
      <w:r>
        <w:rPr>
          <w:lang w:val="fr_FR" w:bidi="fr_FR"/>
        </w:rPr>
        <w:t>).</w:t>
      </w:r>
    </w:p>
    <w:p>
      <w:pPr>
        <w:pStyle w:val="ListBullet"/>
        <w:spacing w:line="240" w:lineRule="auto"/>
        <w:ind w:left="720"/>
      </w:pPr>
      <w:r>
        <w:rPr>
          <w:lang w:val="fr_FR" w:bidi="fr_FR"/>
        </w:rPr>
      </w:r>
      <w:r>
        <w:rPr>
          <w:lang w:val="fr_FR" w:bidi="fr_FR"/>
        </w:rPr>
        <w:t>Par connexions thématiques : par ex., sur la royauté de Dieu (</w:t>
      </w:r>
      <w:hyperlink r:id="rId41">
        <w:r>
          <w:rPr>
            <w:lang w:val="fr_FR" w:bidi="fr_FR"/>
          </w:rPr>
          <w:rPr>
            <w:color w:val="0000EE"/>
            <w:u w:val="single"/>
          </w:rPr>
          <w:t>Ps 93–100</w:t>
        </w:r>
      </w:hyperlink>
      <w:r>
        <w:rPr>
          <w:lang w:val="fr_FR" w:bidi="fr_FR"/>
        </w:rPr>
        <w:t>), ou ceux qui retracent l’histoire, de la création à l’exil (</w:t>
      </w:r>
      <w:hyperlink r:id="rId44">
        <w:r>
          <w:rPr>
            <w:lang w:val="fr_FR" w:bidi="fr_FR"/>
          </w:rPr>
          <w:rPr>
            <w:color w:val="0000EE"/>
            <w:u w:val="single"/>
          </w:rPr>
          <w:t>Ps 104–106</w:t>
        </w:r>
      </w:hyperlink>
      <w:r>
        <w:rPr>
          <w:lang w:val="fr_FR" w:bidi="fr_FR"/>
        </w:rPr>
        <w:t>).</w:t>
      </w:r>
    </w:p>
    <w:p>
      <w:pPr/>
      <w:r>
        <w:rPr>
          <w:lang w:val="fr_FR" w:bidi="fr_FR"/>
        </w:rPr>
      </w:r>
      <w:r>
        <w:rPr>
          <w:lang w:val="fr_FR" w:bidi="fr_FR"/>
        </w:rPr>
        <w:t xml:space="preserve">Genres des Psaumes : les titres des psaumes indiquent souvent le genre d'un psaume. La désignation la plus fréquente est le terme hébreu </w:t>
      </w:r>
      <w:r>
        <w:rPr>
          <w:i/>
          <w:lang w:val="fr_FR" w:bidi="fr_FR"/>
        </w:rPr>
        <w:t>mizmor</w:t>
      </w:r>
      <w:r>
        <w:rPr>
          <w:lang w:val="fr_FR" w:bidi="fr_FR"/>
        </w:rPr>
        <w:t xml:space="preserve">, qui désigne un chant à l'origine accompagné d’instruments à cordes. D’autres termes apparaissent de façon plus occasionnelle : </w:t>
      </w:r>
    </w:p>
    <w:p>
      <w:pPr>
        <w:pStyle w:val="ListBullet"/>
        <w:spacing w:line="240" w:lineRule="auto"/>
        <w:ind w:left="720"/>
      </w:pPr>
      <w:r>
        <w:rPr>
          <w:lang w:val="fr_FR" w:bidi="fr_FR"/>
        </w:rPr>
      </w:r>
      <w:r>
        <w:rPr>
          <w:i/>
          <w:lang w:val="fr_FR" w:bidi="fr_FR"/>
        </w:rPr>
        <w:t>maskil</w:t>
      </w:r>
      <w:r>
        <w:rPr>
          <w:lang w:val="fr_FR" w:bidi="fr_FR"/>
        </w:rPr>
        <w:t xml:space="preserve"> (« psaume / chant » : </w:t>
      </w:r>
      <w:hyperlink r:id="rId96">
        <w:r>
          <w:rPr>
            <w:lang w:val="fr_FR" w:bidi="fr_FR"/>
          </w:rPr>
          <w:rPr>
            <w:color w:val="0000EE"/>
            <w:u w:val="single"/>
          </w:rPr>
          <w:t>Ps 32</w:t>
        </w:r>
      </w:hyperlink>
      <w:r>
        <w:rPr>
          <w:lang w:val="fr_FR" w:bidi="fr_FR"/>
        </w:rPr>
        <w:t xml:space="preserve">, </w:t>
      </w:r>
      <w:hyperlink r:id="rId97">
        <w:r>
          <w:rPr>
            <w:lang w:val="fr_FR" w:bidi="fr_FR"/>
          </w:rPr>
          <w:rPr>
            <w:color w:val="0000EE"/>
            <w:u w:val="single"/>
          </w:rPr>
          <w:t>42</w:t>
        </w:r>
      </w:hyperlink>
      <w:r>
        <w:rPr>
          <w:lang w:val="fr_FR" w:bidi="fr_FR"/>
        </w:rPr>
        <w:t xml:space="preserve">, </w:t>
      </w:r>
      <w:hyperlink r:id="rId98">
        <w:r>
          <w:rPr>
            <w:lang w:val="fr_FR" w:bidi="fr_FR"/>
          </w:rPr>
          <w:rPr>
            <w:color w:val="0000EE"/>
            <w:u w:val="single"/>
          </w:rPr>
          <w:t>44–45</w:t>
        </w:r>
      </w:hyperlink>
      <w:r>
        <w:rPr>
          <w:lang w:val="fr_FR" w:bidi="fr_FR"/>
        </w:rPr>
        <w:t xml:space="preserve">, </w:t>
      </w:r>
      <w:hyperlink r:id="rId99">
        <w:r>
          <w:rPr>
            <w:lang w:val="fr_FR" w:bidi="fr_FR"/>
          </w:rPr>
          <w:rPr>
            <w:color w:val="0000EE"/>
            <w:u w:val="single"/>
          </w:rPr>
          <w:t>52–55</w:t>
        </w:r>
      </w:hyperlink>
      <w:r>
        <w:rPr>
          <w:lang w:val="fr_FR" w:bidi="fr_FR"/>
        </w:rPr>
        <w:t xml:space="preserve">, </w:t>
      </w:r>
      <w:hyperlink r:id="rId100">
        <w:r>
          <w:rPr>
            <w:lang w:val="fr_FR" w:bidi="fr_FR"/>
          </w:rPr>
          <w:rPr>
            <w:color w:val="0000EE"/>
            <w:u w:val="single"/>
          </w:rPr>
          <w:t>74</w:t>
        </w:r>
      </w:hyperlink>
      <w:r>
        <w:rPr>
          <w:lang w:val="fr_FR" w:bidi="fr_FR"/>
        </w:rPr>
        <w:t xml:space="preserve">, </w:t>
      </w:r>
      <w:hyperlink r:id="rId101">
        <w:r>
          <w:rPr>
            <w:lang w:val="fr_FR" w:bidi="fr_FR"/>
          </w:rPr>
          <w:rPr>
            <w:color w:val="0000EE"/>
            <w:u w:val="single"/>
          </w:rPr>
          <w:t>88–89</w:t>
        </w:r>
      </w:hyperlink>
      <w:r>
        <w:rPr>
          <w:lang w:val="fr_FR" w:bidi="fr_FR"/>
        </w:rPr>
        <w:t>)</w:t>
      </w:r>
    </w:p>
    <w:p>
      <w:pPr>
        <w:pStyle w:val="ListBullet"/>
        <w:spacing w:line="240" w:lineRule="auto"/>
        <w:ind w:left="720"/>
      </w:pPr>
      <w:r>
        <w:rPr>
          <w:lang w:val="fr_FR" w:bidi="fr_FR"/>
        </w:rPr>
      </w:r>
      <w:r>
        <w:rPr>
          <w:i/>
          <w:lang w:val="fr_FR" w:bidi="fr_FR"/>
        </w:rPr>
        <w:t>miktam</w:t>
      </w:r>
      <w:r>
        <w:rPr>
          <w:lang w:val="fr_FR" w:bidi="fr_FR"/>
        </w:rPr>
        <w:t xml:space="preserve"> (« psaume / chant » </w:t>
      </w:r>
      <w:hyperlink r:id="rId102">
        <w:r>
          <w:rPr>
            <w:lang w:val="fr_FR" w:bidi="fr_FR"/>
          </w:rPr>
          <w:rPr>
            <w:color w:val="0000EE"/>
            <w:u w:val="single"/>
          </w:rPr>
          <w:t>Ps 16</w:t>
        </w:r>
      </w:hyperlink>
      <w:r>
        <w:rPr>
          <w:lang w:val="fr_FR" w:bidi="fr_FR"/>
        </w:rPr>
        <w:t xml:space="preserve">, </w:t>
      </w:r>
      <w:hyperlink r:id="rId103">
        <w:r>
          <w:rPr>
            <w:lang w:val="fr_FR" w:bidi="fr_FR"/>
          </w:rPr>
          <w:rPr>
            <w:color w:val="0000EE"/>
            <w:u w:val="single"/>
          </w:rPr>
          <w:t>56–60</w:t>
        </w:r>
      </w:hyperlink>
      <w:r>
        <w:rPr>
          <w:lang w:val="fr_FR" w:bidi="fr_FR"/>
        </w:rPr>
        <w:t>)</w:t>
      </w:r>
    </w:p>
    <w:p>
      <w:pPr>
        <w:pStyle w:val="ListBullet"/>
        <w:spacing w:line="240" w:lineRule="auto"/>
        <w:ind w:left="720"/>
      </w:pPr>
      <w:r>
        <w:rPr>
          <w:lang w:val="fr_FR" w:bidi="fr_FR"/>
        </w:rPr>
      </w:r>
      <w:r>
        <w:rPr>
          <w:i/>
          <w:lang w:val="fr_FR" w:bidi="fr_FR"/>
        </w:rPr>
        <w:t>shir</w:t>
      </w:r>
      <w:r>
        <w:rPr>
          <w:lang w:val="fr_FR" w:bidi="fr_FR"/>
        </w:rPr>
        <w:t xml:space="preserve"> (« chant » : </w:t>
      </w:r>
      <w:hyperlink r:id="rId104">
        <w:r>
          <w:rPr>
            <w:lang w:val="fr_FR" w:bidi="fr_FR"/>
          </w:rPr>
          <w:rPr>
            <w:color w:val="0000EE"/>
            <w:u w:val="single"/>
          </w:rPr>
          <w:t>Ps 45</w:t>
        </w:r>
      </w:hyperlink>
      <w:r>
        <w:rPr>
          <w:lang w:val="fr_FR" w:bidi="fr_FR"/>
        </w:rPr>
        <w:t xml:space="preserve">, </w:t>
      </w:r>
      <w:hyperlink r:id="rId105">
        <w:r>
          <w:rPr>
            <w:lang w:val="fr_FR" w:bidi="fr_FR"/>
          </w:rPr>
          <w:rPr>
            <w:color w:val="0000EE"/>
            <w:u w:val="single"/>
          </w:rPr>
          <w:t>120–135</w:t>
        </w:r>
      </w:hyperlink>
      <w:r>
        <w:rPr>
          <w:lang w:val="fr_FR" w:bidi="fr_FR"/>
        </w:rPr>
        <w:t>)</w:t>
      </w:r>
    </w:p>
    <w:p>
      <w:pPr>
        <w:pStyle w:val="ListBullet"/>
        <w:spacing w:line="240" w:lineRule="auto"/>
        <w:ind w:left="720"/>
      </w:pPr>
      <w:r>
        <w:rPr>
          <w:lang w:val="fr_FR" w:bidi="fr_FR"/>
        </w:rPr>
      </w:r>
      <w:r>
        <w:rPr>
          <w:i/>
          <w:lang w:val="fr_FR" w:bidi="fr_FR"/>
        </w:rPr>
        <w:t>shiggayon</w:t>
      </w:r>
      <w:r>
        <w:rPr>
          <w:lang w:val="fr_FR" w:bidi="fr_FR"/>
        </w:rPr>
        <w:t xml:space="preserve"> (« psaume », un terme générique ou musical : </w:t>
      </w:r>
      <w:hyperlink r:id="rId76">
        <w:r>
          <w:rPr>
            <w:lang w:val="fr_FR" w:bidi="fr_FR"/>
          </w:rPr>
          <w:rPr>
            <w:color w:val="0000EE"/>
            <w:u w:val="single"/>
          </w:rPr>
          <w:t>Ps 7</w:t>
        </w:r>
      </w:hyperlink>
      <w:r>
        <w:rPr>
          <w:lang w:val="fr_FR" w:bidi="fr_FR"/>
        </w:rPr>
        <w:t>)</w:t>
      </w:r>
    </w:p>
    <w:p>
      <w:pPr>
        <w:pStyle w:val="ListBullet"/>
        <w:spacing w:line="240" w:lineRule="auto"/>
        <w:ind w:left="720"/>
      </w:pPr>
      <w:r>
        <w:rPr>
          <w:lang w:val="fr_FR" w:bidi="fr_FR"/>
        </w:rPr>
      </w:r>
      <w:r>
        <w:rPr>
          <w:i/>
          <w:lang w:val="fr_FR" w:bidi="fr_FR"/>
        </w:rPr>
        <w:t>tepillah</w:t>
      </w:r>
      <w:r>
        <w:rPr>
          <w:lang w:val="fr_FR" w:bidi="fr_FR"/>
        </w:rPr>
        <w:t xml:space="preserve"> (« prière » : </w:t>
      </w:r>
      <w:hyperlink r:id="rId106">
        <w:r>
          <w:rPr>
            <w:lang w:val="fr_FR" w:bidi="fr_FR"/>
          </w:rPr>
          <w:rPr>
            <w:color w:val="0000EE"/>
            <w:u w:val="single"/>
          </w:rPr>
          <w:t>Ps 17</w:t>
        </w:r>
      </w:hyperlink>
      <w:r>
        <w:rPr>
          <w:lang w:val="fr_FR" w:bidi="fr_FR"/>
        </w:rPr>
        <w:t xml:space="preserve">, </w:t>
      </w:r>
      <w:hyperlink r:id="rId37">
        <w:r>
          <w:rPr>
            <w:lang w:val="fr_FR" w:bidi="fr_FR"/>
          </w:rPr>
          <w:rPr>
            <w:color w:val="0000EE"/>
            <w:u w:val="single"/>
          </w:rPr>
          <w:t>86</w:t>
        </w:r>
      </w:hyperlink>
      <w:r>
        <w:rPr>
          <w:lang w:val="fr_FR" w:bidi="fr_FR"/>
        </w:rPr>
        <w:t xml:space="preserve">, </w:t>
      </w:r>
      <w:hyperlink r:id="rId71">
        <w:r>
          <w:rPr>
            <w:lang w:val="fr_FR" w:bidi="fr_FR"/>
          </w:rPr>
          <w:rPr>
            <w:color w:val="0000EE"/>
            <w:u w:val="single"/>
          </w:rPr>
          <w:t>90</w:t>
        </w:r>
      </w:hyperlink>
      <w:r>
        <w:rPr>
          <w:lang w:val="fr_FR" w:bidi="fr_FR"/>
        </w:rPr>
        <w:t>)</w:t>
      </w:r>
    </w:p>
    <w:p>
      <w:pPr>
        <w:pStyle w:val="ListBullet"/>
        <w:spacing w:line="240" w:lineRule="auto"/>
        <w:ind w:left="720"/>
      </w:pPr>
      <w:r>
        <w:rPr>
          <w:lang w:val="fr_FR" w:bidi="fr_FR"/>
        </w:rPr>
      </w:r>
      <w:r>
        <w:rPr>
          <w:i/>
          <w:lang w:val="fr_FR" w:bidi="fr_FR"/>
        </w:rPr>
        <w:t>tehillah</w:t>
      </w:r>
      <w:r>
        <w:rPr>
          <w:lang w:val="fr_FR" w:bidi="fr_FR"/>
        </w:rPr>
        <w:t xml:space="preserve"> (« louange » : </w:t>
      </w:r>
      <w:hyperlink r:id="rId56">
        <w:r>
          <w:rPr>
            <w:lang w:val="fr_FR" w:bidi="fr_FR"/>
          </w:rPr>
          <w:rPr>
            <w:color w:val="0000EE"/>
            <w:u w:val="single"/>
          </w:rPr>
          <w:t>Ps 145</w:t>
        </w:r>
      </w:hyperlink>
      <w:r>
        <w:rPr>
          <w:lang w:val="fr_FR" w:bidi="fr_FR"/>
        </w:rPr>
        <w:t>)</w:t>
      </w:r>
    </w:p>
    <w:p>
      <w:pPr>
        <w:pStyle w:val="ListBullet"/>
        <w:spacing w:line="240" w:lineRule="auto"/>
        <w:ind w:left="720"/>
      </w:pPr>
      <w:r>
        <w:rPr>
          <w:lang w:val="fr_FR" w:bidi="fr_FR"/>
        </w:rPr>
      </w:r>
      <w:r>
        <w:rPr>
          <w:i/>
          <w:lang w:val="fr_FR" w:bidi="fr_FR"/>
        </w:rPr>
        <w:t>higgayon</w:t>
      </w:r>
      <w:r>
        <w:rPr>
          <w:lang w:val="fr_FR" w:bidi="fr_FR"/>
        </w:rPr>
        <w:t xml:space="preserve"> (« méditation », signification inconnue : </w:t>
      </w:r>
      <w:hyperlink r:id="rId107">
        <w:r>
          <w:rPr>
            <w:lang w:val="fr_FR" w:bidi="fr_FR"/>
          </w:rPr>
          <w:rPr>
            <w:color w:val="0000EE"/>
            <w:u w:val="single"/>
          </w:rPr>
          <w:t>Ps 9.16</w:t>
        </w:r>
      </w:hyperlink>
      <w:r>
        <w:rPr>
          <w:lang w:val="fr_FR" w:bidi="fr_FR"/>
        </w:rPr>
        <w:t>)</w:t>
      </w:r>
    </w:p>
    <w:p>
      <w:pPr>
        <w:pStyle w:val="ListBullet"/>
        <w:spacing w:line="240" w:lineRule="auto"/>
        <w:ind w:left="720"/>
      </w:pPr>
      <w:r>
        <w:rPr>
          <w:lang w:val="fr_FR" w:bidi="fr_FR"/>
        </w:rPr>
      </w:r>
      <w:r>
        <w:rPr>
          <w:i/>
          <w:lang w:val="fr_FR" w:bidi="fr_FR"/>
        </w:rPr>
        <w:t>todah</w:t>
      </w:r>
      <w:r>
        <w:rPr>
          <w:lang w:val="fr_FR" w:bidi="fr_FR"/>
        </w:rPr>
        <w:t xml:space="preserve"> (« action de grâce » : </w:t>
      </w:r>
      <w:hyperlink r:id="rId42">
        <w:r>
          <w:rPr>
            <w:lang w:val="fr_FR" w:bidi="fr_FR"/>
          </w:rPr>
          <w:rPr>
            <w:color w:val="0000EE"/>
            <w:u w:val="single"/>
          </w:rPr>
          <w:t>Ps 100</w:t>
        </w:r>
      </w:hyperlink>
      <w:r>
        <w:rPr>
          <w:lang w:val="fr_FR" w:bidi="fr_FR"/>
        </w:rPr>
        <w:t>)</w:t>
      </w:r>
    </w:p>
    <w:p>
      <w:pPr/>
      <w:r>
        <w:rPr>
          <w:lang w:val="fr_FR" w:bidi="fr_FR"/>
        </w:rPr>
      </w:r>
      <w:r>
        <w:rPr>
          <w:lang w:val="fr_FR" w:bidi="fr_FR"/>
        </w:rPr>
        <w:t>En plus de ces identifications de genre trouvées dans le texte hébreu, les psaumes peuvent être regroupés en trois grandes catégories :</w:t>
      </w:r>
    </w:p>
    <w:p>
      <w:pPr>
        <w:pStyle w:val="ListNumber"/>
        <w:numPr>
          <w:ilvl w:val="0"/>
          <w:numId w:val="15"/>
        </w:numPr>
        <w:spacing w:line="240" w:lineRule="auto"/>
        <w:ind w:left="720"/>
      </w:pPr>
      <w:r>
        <w:rPr>
          <w:lang w:val="fr_FR" w:bidi="fr_FR"/>
        </w:rPr>
      </w:r>
      <w:r>
        <w:rPr>
          <w:lang w:val="fr_FR" w:bidi="fr_FR"/>
        </w:rPr>
        <w:t>Psaumes de sagesse ou d'instruction (</w:t>
      </w:r>
      <w:hyperlink r:id="rId14">
        <w:r>
          <w:rPr>
            <w:lang w:val="fr_FR" w:bidi="fr_FR"/>
          </w:rPr>
          <w:rPr>
            <w:color w:val="0000EE"/>
            <w:u w:val="single"/>
          </w:rPr>
          <w:t>Ps 1</w:t>
        </w:r>
      </w:hyperlink>
      <w:r>
        <w:rPr>
          <w:lang w:val="fr_FR" w:bidi="fr_FR"/>
        </w:rPr>
        <w:t xml:space="preserve">, </w:t>
      </w:r>
      <w:hyperlink r:id="rId108">
        <w:r>
          <w:rPr>
            <w:lang w:val="fr_FR" w:bidi="fr_FR"/>
          </w:rPr>
          <w:rPr>
            <w:color w:val="0000EE"/>
            <w:u w:val="single"/>
          </w:rPr>
          <w:t>15</w:t>
        </w:r>
      </w:hyperlink>
      <w:r>
        <w:rPr>
          <w:lang w:val="fr_FR" w:bidi="fr_FR"/>
        </w:rPr>
        <w:t xml:space="preserve">, </w:t>
      </w:r>
      <w:hyperlink r:id="rId109">
        <w:r>
          <w:rPr>
            <w:lang w:val="fr_FR" w:bidi="fr_FR"/>
          </w:rPr>
          <w:rPr>
            <w:color w:val="0000EE"/>
            <w:u w:val="single"/>
          </w:rPr>
          <w:t>24</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111">
        <w:r>
          <w:rPr>
            <w:lang w:val="fr_FR" w:bidi="fr_FR"/>
          </w:rPr>
          <w:rPr>
            <w:color w:val="0000EE"/>
            <w:u w:val="single"/>
          </w:rPr>
          <w:t>37</w:t>
        </w:r>
      </w:hyperlink>
      <w:r>
        <w:rPr>
          <w:lang w:val="fr_FR" w:bidi="fr_FR"/>
        </w:rPr>
        <w:t xml:space="preserve">, </w:t>
      </w:r>
      <w:hyperlink r:id="rId38">
        <w:r>
          <w:rPr>
            <w:lang w:val="fr_FR" w:bidi="fr_FR"/>
          </w:rPr>
          <w:rPr>
            <w:color w:val="0000EE"/>
            <w:u w:val="single"/>
          </w:rPr>
          <w:t>73</w:t>
        </w:r>
      </w:hyperlink>
      <w:r>
        <w:rPr>
          <w:lang w:val="fr_FR" w:bidi="fr_FR"/>
        </w:rPr>
        <w:t xml:space="preserve">, </w:t>
      </w:r>
      <w:hyperlink r:id="rId71">
        <w:r>
          <w:rPr>
            <w:lang w:val="fr_FR" w:bidi="fr_FR"/>
          </w:rPr>
          <w:rPr>
            <w:color w:val="0000EE"/>
            <w:u w:val="single"/>
          </w:rPr>
          <w:t>90</w:t>
        </w:r>
      </w:hyperlink>
      <w:r>
        <w:rPr>
          <w:lang w:val="fr_FR" w:bidi="fr_FR"/>
        </w:rPr>
        <w:t xml:space="preserve">, </w:t>
      </w:r>
      <w:hyperlink r:id="rId52">
        <w:r>
          <w:rPr>
            <w:lang w:val="fr_FR" w:bidi="fr_FR"/>
          </w:rPr>
          <w:rPr>
            <w:color w:val="0000EE"/>
            <w:u w:val="single"/>
          </w:rPr>
          <w:t>107</w:t>
        </w:r>
      </w:hyperlink>
      <w:r>
        <w:rPr>
          <w:lang w:val="fr_FR" w:bidi="fr_FR"/>
        </w:rPr>
        <w:t>).</w:t>
      </w:r>
    </w:p>
    <w:p>
      <w:pPr>
        <w:pStyle w:val="ListNumber"/>
        <w:spacing w:line="240" w:lineRule="auto"/>
        <w:ind w:left="720"/>
      </w:pPr>
      <w:r>
        <w:rPr>
          <w:lang w:val="fr_FR" w:bidi="fr_FR"/>
        </w:rPr>
      </w:r>
      <w:r>
        <w:rPr>
          <w:lang w:val="fr_FR" w:bidi="fr_FR"/>
        </w:rPr>
        <w:t>Psaumes de lamentation, majoritairement présents dans les livres 1 à 3, que l’on divise en lamentations individuelles et communautaires.</w:t>
      </w:r>
    </w:p>
    <w:p>
      <w:pPr>
        <w:pStyle w:val="ListNumber"/>
        <w:spacing w:line="240" w:lineRule="auto"/>
        <w:ind w:left="720"/>
      </w:pPr>
      <w:r>
        <w:rPr>
          <w:lang w:val="fr_FR" w:bidi="fr_FR"/>
        </w:rPr>
      </w:r>
      <w:r>
        <w:rPr>
          <w:lang w:val="fr_FR" w:bidi="fr_FR"/>
        </w:rPr>
        <w:t>Cantiques de louange ou d'action de grâce (</w:t>
      </w:r>
      <w:hyperlink r:id="rId112">
        <w:r>
          <w:rPr>
            <w:lang w:val="fr_FR" w:bidi="fr_FR"/>
          </w:rPr>
          <w:rPr>
            <w:color w:val="0000EE"/>
            <w:u w:val="single"/>
          </w:rPr>
          <w:t>Ps 8</w:t>
        </w:r>
      </w:hyperlink>
      <w:r>
        <w:rPr>
          <w:lang w:val="fr_FR" w:bidi="fr_FR"/>
        </w:rPr>
        <w:t xml:space="preserve">, </w:t>
      </w:r>
      <w:hyperlink r:id="rId113">
        <w:r>
          <w:rPr>
            <w:lang w:val="fr_FR" w:bidi="fr_FR"/>
          </w:rPr>
          <w:rPr>
            <w:color w:val="0000EE"/>
            <w:u w:val="single"/>
          </w:rPr>
          <w:t>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15">
        <w:r>
          <w:rPr>
            <w:lang w:val="fr_FR" w:bidi="fr_FR"/>
          </w:rPr>
          <w:rPr>
            <w:color w:val="0000EE"/>
            <w:u w:val="single"/>
          </w:rPr>
          <w:t>65</w:t>
        </w:r>
      </w:hyperlink>
      <w:r>
        <w:rPr>
          <w:lang w:val="fr_FR" w:bidi="fr_FR"/>
        </w:rPr>
        <w:t xml:space="preserve">, </w:t>
      </w:r>
      <w:hyperlink r:id="rId116">
        <w:r>
          <w:rPr>
            <w:lang w:val="fr_FR" w:bidi="fr_FR"/>
          </w:rPr>
          <w:rPr>
            <w:color w:val="0000EE"/>
            <w:u w:val="single"/>
          </w:rPr>
          <w:t>67</w:t>
        </w:r>
      </w:hyperlink>
      <w:r>
        <w:rPr>
          <w:lang w:val="fr_FR" w:bidi="fr_FR"/>
        </w:rPr>
        <w:t xml:space="preserve">, </w:t>
      </w:r>
      <w:hyperlink r:id="rId61">
        <w:r>
          <w:rPr>
            <w:lang w:val="fr_FR" w:bidi="fr_FR"/>
          </w:rPr>
          <w:rPr>
            <w:color w:val="0000EE"/>
            <w:u w:val="single"/>
          </w:rPr>
          <w:t>114</w:t>
        </w:r>
      </w:hyperlink>
      <w:r>
        <w:rPr>
          <w:lang w:val="fr_FR" w:bidi="fr_FR"/>
        </w:rPr>
        <w:t>), qui peuvent eux-mêmes être divisés en formes individuelles ou communautaires.</w:t>
      </w:r>
    </w:p>
    <w:p>
      <w:pPr/>
      <w:r>
        <w:rPr>
          <w:lang w:val="fr_FR" w:bidi="fr_FR"/>
        </w:rPr>
      </w:r>
      <w:r>
        <w:rPr>
          <w:lang w:val="fr_FR" w:bidi="fr_FR"/>
        </w:rPr>
        <w:t>Les psaumes de louange se déclinent en plusieurs sous-genres :</w:t>
      </w:r>
    </w:p>
    <w:p>
      <w:pPr>
        <w:pStyle w:val="ListBullet"/>
        <w:spacing w:line="240" w:lineRule="auto"/>
        <w:ind w:left="720"/>
      </w:pPr>
      <w:r>
        <w:rPr>
          <w:lang w:val="fr_FR" w:bidi="fr_FR"/>
        </w:rPr>
      </w:r>
      <w:r>
        <w:rPr>
          <w:lang w:val="fr_FR" w:bidi="fr_FR"/>
        </w:rPr>
        <w:t>Psaumes royaux, portant sur le roi (</w:t>
      </w:r>
      <w:hyperlink r:id="rId15">
        <w:r>
          <w:rPr>
            <w:lang w:val="fr_FR" w:bidi="fr_FR"/>
          </w:rPr>
          <w:rPr>
            <w:color w:val="0000EE"/>
            <w:u w:val="single"/>
          </w:rPr>
          <w:t>Ps 2</w:t>
        </w:r>
      </w:hyperlink>
      <w:r>
        <w:rPr>
          <w:lang w:val="fr_FR" w:bidi="fr_FR"/>
        </w:rPr>
        <w:t xml:space="preserve">, </w:t>
      </w:r>
      <w:hyperlink r:id="rId104">
        <w:r>
          <w:rPr>
            <w:lang w:val="fr_FR" w:bidi="fr_FR"/>
          </w:rPr>
          <w:rPr>
            <w:color w:val="0000EE"/>
            <w:u w:val="single"/>
          </w:rPr>
          <w:t>45</w:t>
        </w:r>
      </w:hyperlink>
      <w:r>
        <w:rPr>
          <w:lang w:val="fr_FR" w:bidi="fr_FR"/>
        </w:rPr>
        <w:t xml:space="preserve">, </w:t>
      </w:r>
      <w:hyperlink r:id="rId31">
        <w:r>
          <w:rPr>
            <w:lang w:val="fr_FR" w:bidi="fr_FR"/>
          </w:rPr>
          <w:rPr>
            <w:color w:val="0000EE"/>
            <w:u w:val="single"/>
          </w:rPr>
          <w:t>72</w:t>
        </w:r>
      </w:hyperlink>
      <w:r>
        <w:rPr>
          <w:lang w:val="fr_FR" w:bidi="fr_FR"/>
        </w:rPr>
        <w:t xml:space="preserve">, </w:t>
      </w:r>
      <w:hyperlink r:id="rId39">
        <w:r>
          <w:rPr>
            <w:lang w:val="fr_FR" w:bidi="fr_FR"/>
          </w:rPr>
          <w:rPr>
            <w:color w:val="0000EE"/>
            <w:u w:val="single"/>
          </w:rPr>
          <w:t>89</w:t>
        </w:r>
      </w:hyperlink>
      <w:r>
        <w:rPr>
          <w:lang w:val="fr_FR" w:bidi="fr_FR"/>
        </w:rPr>
        <w:t xml:space="preserve">, </w:t>
      </w:r>
      <w:hyperlink r:id="rId117">
        <w:r>
          <w:rPr>
            <w:lang w:val="fr_FR" w:bidi="fr_FR"/>
          </w:rPr>
          <w:rPr>
            <w:color w:val="0000EE"/>
            <w:u w:val="single"/>
          </w:rPr>
          <w:t>110</w:t>
        </w:r>
      </w:hyperlink>
      <w:r>
        <w:rPr>
          <w:lang w:val="fr_FR" w:bidi="fr_FR"/>
        </w:rPr>
        <w:t>)</w:t>
      </w:r>
    </w:p>
    <w:p>
      <w:pPr>
        <w:pStyle w:val="ListBullet"/>
        <w:spacing w:line="240" w:lineRule="auto"/>
        <w:ind w:left="720"/>
      </w:pPr>
      <w:r>
        <w:rPr>
          <w:lang w:val="fr_FR" w:bidi="fr_FR"/>
        </w:rPr>
      </w:r>
      <w:r>
        <w:rPr>
          <w:lang w:val="fr_FR" w:bidi="fr_FR"/>
        </w:rPr>
        <w:t>Psaumes sur la royauté de l’Éternel (</w:t>
      </w:r>
      <w:hyperlink r:id="rId118">
        <w:r>
          <w:rPr>
            <w:lang w:val="fr_FR" w:bidi="fr_FR"/>
          </w:rPr>
          <w:rPr>
            <w:color w:val="0000EE"/>
            <w:u w:val="single"/>
          </w:rPr>
          <w:t>Ps 93</w:t>
        </w:r>
      </w:hyperlink>
      <w:r>
        <w:rPr>
          <w:lang w:val="fr_FR" w:bidi="fr_FR"/>
        </w:rPr>
        <w:t xml:space="preserve">, </w:t>
      </w:r>
      <w:hyperlink r:id="rId119">
        <w:r>
          <w:rPr>
            <w:lang w:val="fr_FR" w:bidi="fr_FR"/>
          </w:rPr>
          <w:rPr>
            <w:color w:val="0000EE"/>
            <w:u w:val="single"/>
          </w:rPr>
          <w:t>95–99</w:t>
        </w:r>
      </w:hyperlink>
      <w:r>
        <w:rPr>
          <w:lang w:val="fr_FR" w:bidi="fr_FR"/>
        </w:rPr>
        <w:t>)</w:t>
      </w:r>
    </w:p>
    <w:p>
      <w:pPr>
        <w:pStyle w:val="ListBullet"/>
        <w:spacing w:line="240" w:lineRule="auto"/>
        <w:ind w:left="720"/>
      </w:pPr>
      <w:r>
        <w:rPr>
          <w:lang w:val="fr_FR" w:bidi="fr_FR"/>
        </w:rPr>
      </w:r>
      <w:r>
        <w:rPr>
          <w:lang w:val="fr_FR" w:bidi="fr_FR"/>
        </w:rPr>
        <w:t>Hymnes célébrant la création (</w:t>
      </w:r>
      <w:hyperlink r:id="rId113">
        <w:r>
          <w:rPr>
            <w:lang w:val="fr_FR" w:bidi="fr_FR"/>
          </w:rPr>
          <w:rPr>
            <w:color w:val="0000EE"/>
            <w:u w:val="single"/>
          </w:rPr>
          <w:t>Ps 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20">
        <w:r>
          <w:rPr>
            <w:lang w:val="fr_FR" w:bidi="fr_FR"/>
          </w:rPr>
          <w:rPr>
            <w:color w:val="0000EE"/>
            <w:u w:val="single"/>
          </w:rPr>
          <w:t>104</w:t>
        </w:r>
      </w:hyperlink>
      <w:r>
        <w:rPr>
          <w:lang w:val="fr_FR" w:bidi="fr_FR"/>
        </w:rPr>
        <w:t>)</w:t>
      </w:r>
    </w:p>
    <w:p>
      <w:pPr>
        <w:pStyle w:val="ListBullet"/>
        <w:spacing w:line="240" w:lineRule="auto"/>
        <w:ind w:left="720"/>
      </w:pPr>
      <w:r>
        <w:rPr>
          <w:lang w:val="fr_FR" w:bidi="fr_FR"/>
        </w:rPr>
      </w:r>
      <w:r>
        <w:rPr>
          <w:lang w:val="fr_FR" w:bidi="fr_FR"/>
        </w:rPr>
        <w:t>Hymnes dédiés à Sion (</w:t>
      </w:r>
      <w:hyperlink r:id="rId121">
        <w:r>
          <w:rPr>
            <w:lang w:val="fr_FR" w:bidi="fr_FR"/>
          </w:rPr>
          <w:rPr>
            <w:color w:val="0000EE"/>
            <w:u w:val="single"/>
          </w:rPr>
          <w:t>Ps 46</w:t>
        </w:r>
      </w:hyperlink>
      <w:r>
        <w:rPr>
          <w:lang w:val="fr_FR" w:bidi="fr_FR"/>
        </w:rPr>
        <w:t xml:space="preserve">, </w:t>
      </w:r>
      <w:hyperlink r:id="rId122">
        <w:r>
          <w:rPr>
            <w:lang w:val="fr_FR" w:bidi="fr_FR"/>
          </w:rPr>
          <w:rPr>
            <w:color w:val="0000EE"/>
            <w:u w:val="single"/>
          </w:rPr>
          <w:t>48</w:t>
        </w:r>
      </w:hyperlink>
      <w:r>
        <w:rPr>
          <w:lang w:val="fr_FR" w:bidi="fr_FR"/>
        </w:rPr>
        <w:t xml:space="preserve">, </w:t>
      </w:r>
      <w:hyperlink r:id="rId123">
        <w:r>
          <w:rPr>
            <w:lang w:val="fr_FR" w:bidi="fr_FR"/>
          </w:rPr>
          <w:rPr>
            <w:color w:val="0000EE"/>
            <w:u w:val="single"/>
          </w:rPr>
          <w:t>84</w:t>
        </w:r>
      </w:hyperlink>
      <w:r>
        <w:rPr>
          <w:lang w:val="fr_FR" w:bidi="fr_FR"/>
        </w:rPr>
        <w:t xml:space="preserve">, </w:t>
      </w:r>
      <w:hyperlink r:id="rId68">
        <w:r>
          <w:rPr>
            <w:lang w:val="fr_FR" w:bidi="fr_FR"/>
          </w:rPr>
          <w:rPr>
            <w:color w:val="0000EE"/>
            <w:u w:val="single"/>
          </w:rPr>
          <w:t>87</w:t>
        </w:r>
      </w:hyperlink>
      <w:r>
        <w:rPr>
          <w:lang w:val="fr_FR" w:bidi="fr_FR"/>
        </w:rPr>
        <w:t>)</w:t>
      </w:r>
    </w:p>
    <w:p>
      <w:pPr/>
      <w:r>
        <w:rPr>
          <w:lang w:val="fr_FR" w:bidi="fr_FR"/>
        </w:rPr>
      </w:r>
      <w:r>
        <w:rPr>
          <w:lang w:val="fr_FR" w:bidi="fr_FR"/>
        </w:rP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lang w:val="fr_FR" w:bidi="fr_FR"/>
        </w:rPr>
        <w:t>torah</w:t>
      </w:r>
      <w:r>
        <w:rPr>
          <w:lang w:val="fr_FR" w:bidi="fr_FR"/>
        </w:rPr>
        <w:t xml:space="preserve"> ; voir </w:t>
      </w:r>
      <w:hyperlink r:id="rId124">
        <w:r>
          <w:rPr>
            <w:lang w:val="fr_FR" w:bidi="fr_FR"/>
          </w:rPr>
          <w:rPr>
            <w:color w:val="0000EE"/>
            <w:u w:val="single"/>
          </w:rPr>
          <w:t>1.2</w:t>
        </w:r>
      </w:hyperlink>
      <w:r>
        <w:rPr>
          <w:lang w:val="fr_FR" w:bidi="fr_FR"/>
        </w:rPr>
        <w:t>), c’est-à-dire une instruction destinée à enseigner au peuple de Dieu comment mener sa vie.</w:t>
      </w:r>
    </w:p>
    <w:p>
      <w:pPr>
        <w:pStyle w:val="Heading2"/>
      </w:pPr>
      <w:r>
        <w:rPr>
          <w:lang w:val="fr_FR" w:bidi="fr_FR"/>
        </w:rPr>
        <w:t>Les Psaumes dans le culte d’Israël</w:t>
      </w:r>
    </w:p>
    <w:p>
      <w:pPr/>
      <w:r>
        <w:rPr>
          <w:lang w:val="fr_FR" w:bidi="fr_FR"/>
        </w:rPr>
      </w:r>
      <w:r>
        <w:rPr>
          <w:lang w:val="fr_FR" w:bidi="fr_FR"/>
        </w:rP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hyperlink r:id="rId46">
        <w:r>
          <w:rPr>
            <w:lang w:val="fr_FR" w:bidi="fr_FR"/>
          </w:rPr>
          <w:rPr>
            <w:color w:val="0000EE"/>
            <w:u w:val="single"/>
          </w:rPr>
          <w:t>Ps 113–118</w:t>
        </w:r>
      </w:hyperlink>
      <w:r>
        <w:rPr>
          <w:lang w:val="fr_FR" w:bidi="fr_FR"/>
        </w:rPr>
        <w:t>), ou lors des pèlerinages à Jérusalem pour les grandes fêtes annuelles (</w:t>
      </w:r>
      <w:hyperlink r:id="rId49">
        <w:r>
          <w:rPr>
            <w:lang w:val="fr_FR" w:bidi="fr_FR"/>
          </w:rPr>
          <w:rPr>
            <w:color w:val="0000EE"/>
            <w:u w:val="single"/>
          </w:rPr>
          <w:t>Ps 120–134</w:t>
        </w:r>
      </w:hyperlink>
      <w:r>
        <w:rPr>
          <w:lang w:val="fr_FR" w:bidi="fr_FR"/>
        </w:rPr>
        <w:t xml:space="preserve">). D’autres prennent la forme d’odes historiques qui rappellent d’importants événements nationaux (par ex., le </w:t>
      </w:r>
      <w:hyperlink r:id="rId91">
        <w:r>
          <w:rPr>
            <w:lang w:val="fr_FR" w:bidi="fr_FR"/>
          </w:rPr>
          <w:rPr>
            <w:color w:val="0000EE"/>
            <w:u w:val="single"/>
          </w:rPr>
          <w:t>Ps 30</w:t>
        </w:r>
      </w:hyperlink>
      <w:r>
        <w:rPr>
          <w:lang w:val="fr_FR" w:bidi="fr_FR"/>
        </w:rPr>
        <w:t xml:space="preserve">, « un chant pour la dédicace du temple », ou encore le </w:t>
      </w:r>
      <w:hyperlink r:id="rId125">
        <w:r>
          <w:rPr>
            <w:lang w:val="fr_FR" w:bidi="fr_FR"/>
          </w:rPr>
          <w:rPr>
            <w:color w:val="0000EE"/>
            <w:u w:val="single"/>
          </w:rPr>
          <w:t>Ps 137</w:t>
        </w:r>
      </w:hyperlink>
      <w:r>
        <w:rPr>
          <w:lang w:val="fr_FR" w:bidi="fr_FR"/>
        </w:rPr>
        <w:t>, qui évoque les souffrances du peuple en exil. De tels psaumes occupaient une place importante dans la vie communautaire, même si leur rôle précis reste en partie obscure.</w:t>
      </w:r>
    </w:p>
    <w:p>
      <w:pPr>
        <w:pStyle w:val="Heading2"/>
      </w:pPr>
      <w:r>
        <w:rPr>
          <w:lang w:val="fr_FR" w:bidi="fr_FR"/>
        </w:rPr>
        <w:t>Signification et message</w:t>
      </w:r>
    </w:p>
    <w:p>
      <w:pPr/>
      <w:r>
        <w:rPr>
          <w:lang w:val="fr_FR" w:bidi="fr_FR"/>
        </w:rPr>
      </w:r>
      <w:r>
        <w:rPr>
          <w:lang w:val="fr_FR" w:bidi="fr_FR"/>
        </w:rPr>
        <w:t>Les psaumes ouvrent une fenêtre sur l’âme de ceux qui les ont composés. Leur théologie n’est ni simple ni superficielle, mais leur foi, mise à l’épreuve, s’en trouve purifiée.</w:t>
      </w:r>
    </w:p>
    <w:p>
      <w:pPr/>
      <w:r>
        <w:rPr>
          <w:lang w:val="fr_FR" w:bidi="fr_FR"/>
        </w:rPr>
      </w:r>
      <w:r>
        <w:rPr>
          <w:lang w:val="fr_FR" w:bidi="fr_FR"/>
        </w:rP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lang w:val="fr_FR" w:bidi="fr_FR"/>
        </w:rPr>
        <w:t>torah</w:t>
      </w:r>
      <w:r>
        <w:rPr>
          <w:lang w:val="fr_FR" w:bidi="fr_FR"/>
        </w:rPr>
        <w:t xml:space="preserve"> (« instruction » ; voir </w:t>
      </w:r>
      <w:hyperlink r:id="rId14">
        <w:r>
          <w:rPr>
            <w:lang w:val="fr_FR" w:bidi="fr_FR"/>
          </w:rPr>
          <w:rPr>
            <w:color w:val="0000EE"/>
            <w:u w:val="single"/>
          </w:rPr>
          <w:t>Ps 1</w:t>
        </w:r>
      </w:hyperlink>
      <w:r>
        <w:rPr>
          <w:lang w:val="fr_FR" w:bidi="fr_FR"/>
        </w:rPr>
        <w:t xml:space="preserve"> ; </w:t>
      </w:r>
      <w:hyperlink r:id="rId113">
        <w:r>
          <w:rPr>
            <w:lang w:val="fr_FR" w:bidi="fr_FR"/>
          </w:rPr>
          <w:rPr>
            <w:color w:val="0000EE"/>
            <w:u w:val="single"/>
          </w:rPr>
          <w:t>19</w:t>
        </w:r>
      </w:hyperlink>
      <w:r>
        <w:rPr>
          <w:lang w:val="fr_FR" w:bidi="fr_FR"/>
        </w:rPr>
        <w:t xml:space="preserve"> ; </w:t>
      </w:r>
      <w:hyperlink r:id="rId47">
        <w:r>
          <w:rPr>
            <w:lang w:val="fr_FR" w:bidi="fr_FR"/>
          </w:rPr>
          <w:rPr>
            <w:color w:val="0000EE"/>
            <w:u w:val="single"/>
          </w:rPr>
          <w:t>119</w:t>
        </w:r>
      </w:hyperlink>
      <w:r>
        <w:rPr>
          <w:lang w:val="fr_FR" w:bidi="fr_FR"/>
        </w:rP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pPr/>
      <w:r>
        <w:rPr>
          <w:lang w:val="fr_FR" w:bidi="fr_FR"/>
        </w:rPr>
      </w:r>
      <w:r>
        <w:rPr>
          <w:lang w:val="fr_FR" w:bidi="fr_FR"/>
        </w:rP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hyperlink r:id="rId126">
        <w:r>
          <w:rPr>
            <w:lang w:val="fr_FR" w:bidi="fr_FR"/>
          </w:rPr>
          <w:rPr>
            <w:color w:val="0000EE"/>
            <w:u w:val="single"/>
          </w:rPr>
          <w:t>Ps 23</w:t>
        </w:r>
      </w:hyperlink>
      <w:r>
        <w:rPr>
          <w:lang w:val="fr_FR" w:bidi="fr_FR"/>
        </w:rPr>
        <w:t>), ainsi qu'à une gloire durable. Même les psaumes associés à David présentent souvent un roi humilié, plutôt qu’un héros triomphant. Il apparaît vulnérable, blessé, honteux, attendant la rédemption, et confiant que l’Éternel va le justifier.</w:t>
      </w:r>
    </w:p>
    <w:p>
      <w:pPr/>
      <w:r>
        <w:rPr>
          <w:lang w:val="fr_FR" w:bidi="fr_FR"/>
        </w:rPr>
      </w:r>
      <w:r>
        <w:rPr>
          <w:lang w:val="fr_FR" w:bidi="fr_FR"/>
        </w:rPr>
        <w:t xml:space="preserve">Le Psautier reflète les échecs d’Israël et de la dynastie de David. Même les figures les plus pieuses et les rois les plus fidèles n’ont pas su instaurer le bonheur et la paix annoncés dans les </w:t>
      </w:r>
      <w:hyperlink r:id="rId14">
        <w:r>
          <w:rPr>
            <w:lang w:val="fr_FR" w:bidi="fr_FR"/>
          </w:rPr>
          <w:rPr>
            <w:color w:val="0000EE"/>
            <w:u w:val="single"/>
          </w:rPr>
          <w:t>Ps 1</w:t>
        </w:r>
      </w:hyperlink>
      <w:r>
        <w:rPr>
          <w:lang w:val="fr_FR" w:bidi="fr_FR"/>
        </w:rPr>
        <w:t xml:space="preserve"> et </w:t>
      </w:r>
      <w:hyperlink r:id="rId127">
        <w:r>
          <w:rPr>
            <w:lang w:val="fr_FR" w:bidi="fr_FR"/>
          </w:rPr>
          <w:rPr>
            <w:color w:val="0000EE"/>
            <w:u w:val="single"/>
          </w:rPr>
          <w:t>2</w:t>
        </w:r>
      </w:hyperlink>
      <w:r>
        <w:rPr>
          <w:lang w:val="fr_FR" w:bidi="fr_FR"/>
        </w:rPr>
        <w:t xml:space="preserve"> (voir aussi </w:t>
      </w:r>
      <w:hyperlink r:id="rId31">
        <w:r>
          <w:rPr>
            <w:lang w:val="fr_FR" w:bidi="fr_FR"/>
          </w:rPr>
          <w:rPr>
            <w:color w:val="0000EE"/>
            <w:u w:val="single"/>
          </w:rPr>
          <w:t>Ps 72</w:t>
        </w:r>
      </w:hyperlink>
      <w:r>
        <w:rPr>
          <w:lang w:val="fr_FR" w:bidi="fr_FR"/>
        </w:rPr>
        <w:t>). En cela, les psaumes sont une exhortation constante de Dieu envers chacun : un appel à cultiver la sagesse, faire confiance à l’Éternel, vivre selon sa grâce, et espérer en celui qui peut véritablement bénir ce monde dans le besoin.</w:t>
      </w:r>
    </w:p>
    <w:p>
      <w:pPr/>
      <w:r>
        <w:rPr>
          <w:lang w:val="fr_FR" w:bidi="fr_FR"/>
        </w:rPr>
      </w:r>
      <w:r>
        <w:rPr>
          <w:lang w:val="fr_FR" w:bidi="fr_FR"/>
        </w:rP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hyperlink r:id="rId128">
        <w:r>
          <w:rPr>
            <w:lang w:val="fr_FR" w:bidi="fr_FR"/>
          </w:rPr>
          <w:rPr>
            <w:color w:val="0000EE"/>
            <w:u w:val="single"/>
          </w:rPr>
          <w:t>Mt 13.34–35</w:t>
        </w:r>
      </w:hyperlink>
      <w:r>
        <w:rPr>
          <w:lang w:val="fr_FR" w:bidi="fr_FR"/>
        </w:rPr>
        <w:t xml:space="preserve"> ; </w:t>
      </w:r>
      <w:hyperlink r:id="rId129">
        <w:r>
          <w:rPr>
            <w:lang w:val="fr_FR" w:bidi="fr_FR"/>
          </w:rPr>
          <w:rPr>
            <w:color w:val="0000EE"/>
            <w:u w:val="single"/>
          </w:rPr>
          <w:t>21.16</w:t>
        </w:r>
      </w:hyperlink>
      <w:r>
        <w:rPr>
          <w:lang w:val="fr_FR" w:bidi="fr_FR"/>
        </w:rPr>
        <w:t xml:space="preserve">, </w:t>
      </w:r>
      <w:hyperlink r:id="rId130">
        <w:r>
          <w:rPr>
            <w:lang w:val="fr_FR" w:bidi="fr_FR"/>
          </w:rPr>
          <w:rPr>
            <w:color w:val="0000EE"/>
            <w:u w:val="single"/>
          </w:rPr>
          <w:t>42</w:t>
        </w:r>
      </w:hyperlink>
      <w:r>
        <w:rPr>
          <w:lang w:val="fr_FR" w:bidi="fr_FR"/>
        </w:rPr>
        <w:t xml:space="preserve"> ; </w:t>
      </w:r>
      <w:hyperlink r:id="rId131">
        <w:r>
          <w:rPr>
            <w:lang w:val="fr_FR" w:bidi="fr_FR"/>
          </w:rPr>
          <w:rPr>
            <w:color w:val="0000EE"/>
            <w:u w:val="single"/>
          </w:rPr>
          <w:t>23.39</w:t>
        </w:r>
      </w:hyperlink>
      <w:r>
        <w:rPr>
          <w:lang w:val="fr_FR" w:bidi="fr_FR"/>
        </w:rPr>
        <w:t xml:space="preserve"> ; </w:t>
      </w:r>
      <w:hyperlink r:id="rId132">
        <w:r>
          <w:rPr>
            <w:lang w:val="fr_FR" w:bidi="fr_FR"/>
          </w:rPr>
          <w:rPr>
            <w:color w:val="0000EE"/>
            <w:u w:val="single"/>
          </w:rPr>
          <w:t>Jn 2.17</w:t>
        </w:r>
      </w:hyperlink>
      <w:r>
        <w:rPr>
          <w:lang w:val="fr_FR" w:bidi="fr_FR"/>
        </w:rPr>
        <w:t xml:space="preserve"> ; </w:t>
      </w:r>
      <w:hyperlink r:id="rId133">
        <w:r>
          <w:rPr>
            <w:lang w:val="fr_FR" w:bidi="fr_FR"/>
          </w:rPr>
          <w:rPr>
            <w:color w:val="0000EE"/>
            <w:u w:val="single"/>
          </w:rPr>
          <w:t>15.25</w:t>
        </w:r>
      </w:hyperlink>
      <w:r>
        <w:rPr>
          <w:lang w:val="fr_FR" w:bidi="fr_FR"/>
        </w:rPr>
        <w:t xml:space="preserve"> ; </w:t>
      </w:r>
      <w:hyperlink r:id="rId134">
        <w:r>
          <w:rPr>
            <w:lang w:val="fr_FR" w:bidi="fr_FR"/>
          </w:rPr>
          <w:rPr>
            <w:color w:val="0000EE"/>
            <w:u w:val="single"/>
          </w:rPr>
          <w:t>19.24</w:t>
        </w:r>
      </w:hyperlink>
      <w:r>
        <w:rPr>
          <w:lang w:val="fr_FR" w:bidi="fr_FR"/>
        </w:rPr>
        <w:t xml:space="preserve">, </w:t>
      </w:r>
      <w:hyperlink r:id="rId135">
        <w:r>
          <w:rPr>
            <w:lang w:val="fr_FR" w:bidi="fr_FR"/>
          </w:rPr>
          <w:rPr>
            <w:color w:val="0000EE"/>
            <w:u w:val="single"/>
          </w:rPr>
          <w:t>28</w:t>
        </w:r>
      </w:hyperlink>
      <w:r>
        <w:rPr>
          <w:lang w:val="fr_FR" w:bidi="fr_FR"/>
        </w:rPr>
        <w:t xml:space="preserve">, </w:t>
      </w:r>
      <w:hyperlink r:id="rId136">
        <w:r>
          <w:rPr>
            <w:lang w:val="fr_FR" w:bidi="fr_FR"/>
          </w:rPr>
          <w:rPr>
            <w:color w:val="0000EE"/>
            <w:u w:val="single"/>
          </w:rPr>
          <w:t>36</w:t>
        </w:r>
      </w:hyperlink>
      <w:r>
        <w:rPr>
          <w:lang w:val="fr_FR" w:bidi="fr_FR"/>
        </w:rPr>
        <w:t xml:space="preserve"> ; </w:t>
      </w:r>
      <w:hyperlink r:id="rId137">
        <w:r>
          <w:rPr>
            <w:lang w:val="fr_FR" w:bidi="fr_FR"/>
          </w:rPr>
          <w:rPr>
            <w:color w:val="0000EE"/>
            <w:u w:val="single"/>
          </w:rPr>
          <w:t>Ac 2.22–35</w:t>
        </w:r>
      </w:hyperlink>
      <w:r>
        <w:rPr>
          <w:lang w:val="fr_FR" w:bidi="fr_FR"/>
        </w:rPr>
        <w:t xml:space="preserve"> ; </w:t>
      </w:r>
      <w:hyperlink r:id="rId138">
        <w:r>
          <w:rPr>
            <w:lang w:val="fr_FR" w:bidi="fr_FR"/>
          </w:rPr>
          <w:rPr>
            <w:color w:val="0000EE"/>
            <w:u w:val="single"/>
          </w:rPr>
          <w:t>4.11</w:t>
        </w:r>
      </w:hyperlink>
      <w:r>
        <w:rPr>
          <w:lang w:val="fr_FR" w:bidi="fr_FR"/>
        </w:rPr>
        <w:t xml:space="preserve"> ; </w:t>
      </w:r>
      <w:hyperlink r:id="rId139">
        <w:r>
          <w:rPr>
            <w:lang w:val="fr_FR" w:bidi="fr_FR"/>
          </w:rPr>
          <w:rPr>
            <w:color w:val="0000EE"/>
            <w:u w:val="single"/>
          </w:rPr>
          <w:t>13.32–38</w:t>
        </w:r>
      </w:hyperlink>
      <w:r>
        <w:rPr>
          <w:lang w:val="fr_FR" w:bidi="fr_FR"/>
        </w:rPr>
        <w:t xml:space="preserve"> ; </w:t>
      </w:r>
      <w:hyperlink r:id="rId140">
        <w:r>
          <w:rPr>
            <w:lang w:val="fr_FR" w:bidi="fr_FR"/>
          </w:rPr>
          <w:rPr>
            <w:color w:val="0000EE"/>
            <w:u w:val="single"/>
          </w:rPr>
          <w:t>Rm 15.3</w:t>
        </w:r>
      </w:hyperlink>
      <w:r>
        <w:rPr>
          <w:lang w:val="fr_FR" w:bidi="fr_FR"/>
        </w:rPr>
        <w:t xml:space="preserve"> ; </w:t>
      </w:r>
      <w:hyperlink r:id="rId141">
        <w:r>
          <w:rPr>
            <w:lang w:val="fr_FR" w:bidi="fr_FR"/>
          </w:rPr>
          <w:rPr>
            <w:color w:val="0000EE"/>
            <w:u w:val="single"/>
          </w:rPr>
          <w:t>1Co 15.25–27</w:t>
        </w:r>
      </w:hyperlink>
      <w:r>
        <w:rPr>
          <w:lang w:val="fr_FR" w:bidi="fr_FR"/>
        </w:rPr>
        <w:t xml:space="preserve"> ; </w:t>
      </w:r>
      <w:hyperlink r:id="rId142">
        <w:r>
          <w:rPr>
            <w:lang w:val="fr_FR" w:bidi="fr_FR"/>
          </w:rPr>
          <w:rPr>
            <w:color w:val="0000EE"/>
            <w:u w:val="single"/>
          </w:rPr>
          <w:t>Ep 4.7–10</w:t>
        </w:r>
      </w:hyperlink>
      <w:r>
        <w:rPr>
          <w:lang w:val="fr_FR" w:bidi="fr_FR"/>
        </w:rPr>
        <w:t xml:space="preserve"> ; </w:t>
      </w:r>
      <w:hyperlink r:id="rId143">
        <w:r>
          <w:rPr>
            <w:lang w:val="fr_FR" w:bidi="fr_FR"/>
          </w:rPr>
          <w:rPr>
            <w:color w:val="0000EE"/>
            <w:u w:val="single"/>
          </w:rPr>
          <w:t>1P 2.7</w:t>
        </w:r>
      </w:hyperlink>
      <w:r>
        <w:rPr>
          <w:lang w:val="fr_FR" w:bidi="fr_FR"/>
        </w:rPr>
        <w:t>). Jésus s’est incarné pour connaître l’expérience humaine, pour vivre selon les schémas trouvés dans les psaumes, goûtant à l'humiliation, à la souffrance, à la mort, à la justification et à la gloire. Il est le seul être humain qui a complètement plu à Dieu (</w:t>
      </w:r>
      <w:hyperlink r:id="rId14">
        <w:r>
          <w:rPr>
            <w:lang w:val="fr_FR" w:bidi="fr_FR"/>
          </w:rPr>
          <w:rPr>
            <w:color w:val="0000EE"/>
            <w:u w:val="single"/>
          </w:rPr>
          <w:t>Ps 1</w:t>
        </w:r>
      </w:hyperlink>
      <w:r>
        <w:rPr>
          <w:lang w:val="fr_FR" w:bidi="fr_FR"/>
        </w:rPr>
        <w:t>). Il est le Messie et Roi (</w:t>
      </w:r>
      <w:hyperlink r:id="rId15">
        <w:r>
          <w:rPr>
            <w:lang w:val="fr_FR" w:bidi="fr_FR"/>
          </w:rPr>
          <w:rPr>
            <w:color w:val="0000EE"/>
            <w:u w:val="single"/>
          </w:rPr>
          <w:t>Ps 2</w:t>
        </w:r>
      </w:hyperlink>
      <w:r>
        <w:rPr>
          <w:lang w:val="fr_FR" w:bidi="fr_FR"/>
        </w:rPr>
        <w:t>) qui est devenu notre moyen de rédemption, de bonheur et de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