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hyperlink r:id="rId13">
        <w:r>
          <w:rPr>
            <w:lang w:val="es_ES" w:bidi="es_ES"/>
          </w:rPr>
          <w:rPr>
            <w:color w:val="0000EE"/>
            <w:u w:val="single"/>
          </w:rPr>
          <w:t>1:2</w:t>
        </w:r>
      </w:hyperlink>
      <w:r>
        <w:rPr>
          <w:lang w:val="es_ES" w:bidi="es_ES"/>
        </w:rPr>
        <w:t>).</w:t>
      </w:r>
    </w:p>
    <w:p>
      <w:pPr>
        <w:pStyle w:val="Heading2"/>
      </w:pPr>
      <w:r>
        <w:rPr>
          <w:lang w:val="es_ES" w:bidi="es_ES"/>
        </w:rPr>
        <w:t>Ambientación</w:t>
      </w:r>
    </w:p>
    <w:p>
      <w:pPr/>
      <w:r>
        <w:rPr>
          <w:lang w:val="es_ES" w:bidi="es_ES"/>
        </w:rPr>
      </w:r>
      <w:r>
        <w:rPr>
          <w:lang w:val="es_ES" w:bidi="es_ES"/>
        </w:rP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pPr/>
      <w:r>
        <w:rPr>
          <w:lang w:val="es_ES" w:bidi="es_ES"/>
        </w:rPr>
      </w:r>
      <w:r>
        <w:rPr>
          <w:lang w:val="es_ES" w:bidi="es_ES"/>
        </w:rP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pPr/>
      <w:r>
        <w:rPr>
          <w:lang w:val="es_ES" w:bidi="es_ES"/>
        </w:rPr>
      </w:r>
      <w:r>
        <w:rPr>
          <w:lang w:val="es_ES" w:bidi="es_ES"/>
        </w:rPr>
        <w:t>Malaquías se enfrentó a un pueblo sumido en el cinismo religioso, el escepticismo político y la desilusión espiritual. Esperaban prosperidad (</w:t>
      </w:r>
      <w:hyperlink r:id="rId14">
        <w:r>
          <w:rPr>
            <w:lang w:val="es_ES" w:bidi="es_ES"/>
          </w:rPr>
          <w:rPr>
            <w:color w:val="0000EE"/>
            <w:u w:val="single"/>
          </w:rPr>
          <w:t>Hg 2:7</w:t>
        </w:r>
      </w:hyperlink>
      <w:r>
        <w:rPr>
          <w:lang w:val="es_ES" w:bidi="es_ES"/>
        </w:rPr>
        <w:t xml:space="preserve">, </w:t>
      </w:r>
      <w:hyperlink r:id="rId15">
        <w:r>
          <w:rPr>
            <w:lang w:val="es_ES" w:bidi="es_ES"/>
          </w:rPr>
          <w:rPr>
            <w:color w:val="0000EE"/>
            <w:u w:val="single"/>
          </w:rPr>
          <w:t>18–19</w:t>
        </w:r>
      </w:hyperlink>
      <w:r>
        <w:rPr>
          <w:lang w:val="es_ES" w:bidi="es_ES"/>
        </w:rPr>
        <w:t>), un rey del linaje de David (</w:t>
      </w:r>
      <w:hyperlink r:id="rId16">
        <w:r>
          <w:rPr>
            <w:lang w:val="es_ES" w:bidi="es_ES"/>
          </w:rPr>
          <w:rPr>
            <w:color w:val="0000EE"/>
            <w:u w:val="single"/>
          </w:rPr>
          <w:t>Ez 34:13</w:t>
        </w:r>
      </w:hyperlink>
      <w:r>
        <w:rPr>
          <w:lang w:val="es_ES" w:bidi="es_ES"/>
        </w:rPr>
        <w:t xml:space="preserve">, </w:t>
      </w:r>
      <w:hyperlink r:id="rId17">
        <w:r>
          <w:rPr>
            <w:lang w:val="es_ES" w:bidi="es_ES"/>
          </w:rPr>
          <w:rPr>
            <w:color w:val="0000EE"/>
            <w:u w:val="single"/>
          </w:rPr>
          <w:t>23–24</w:t>
        </w:r>
      </w:hyperlink>
      <w:r>
        <w:rPr>
          <w:lang w:val="es_ES" w:bidi="es_ES"/>
        </w:rPr>
        <w:t>) y las promesas del nuevo pacto a través de Jeremías (</w:t>
      </w:r>
      <w:hyperlink r:id="rId18">
        <w:r>
          <w:rPr>
            <w:lang w:val="es_ES" w:bidi="es_ES"/>
          </w:rPr>
          <w:rPr>
            <w:color w:val="0000EE"/>
            <w:u w:val="single"/>
          </w:rPr>
          <w:t>Jr 31:23</w:t>
        </w:r>
      </w:hyperlink>
      <w:r>
        <w:rPr>
          <w:lang w:val="es_ES" w:bidi="es_ES"/>
        </w:rPr>
        <w:t xml:space="preserve">, </w:t>
      </w:r>
      <w:hyperlink r:id="rId19">
        <w:r>
          <w:rPr>
            <w:lang w:val="es_ES" w:bidi="es_ES"/>
          </w:rPr>
          <w:rPr>
            <w:color w:val="0000EE"/>
            <w:u w:val="single"/>
          </w:rPr>
          <w:t>31–34</w:t>
        </w:r>
      </w:hyperlink>
      <w:r>
        <w:rPr>
          <w:lang w:val="es_ES" w:bidi="es_ES"/>
        </w:rPr>
        <w:t>), pero no vieron ninguna de estas cosas cumplirse. En la mente de muchos, Dios había fallado a su pueblo.</w:t>
      </w:r>
    </w:p>
    <w:p>
      <w:pPr>
        <w:pStyle w:val="Heading2"/>
      </w:pPr>
      <w:r>
        <w:rPr>
          <w:lang w:val="es_ES" w:bidi="es_ES"/>
        </w:rPr>
        <w:t>Resumen</w:t>
      </w:r>
    </w:p>
    <w:p>
      <w:pPr/>
      <w:r>
        <w:rPr>
          <w:lang w:val="es_ES" w:bidi="es_ES"/>
        </w:rPr>
      </w:r>
      <w:r>
        <w:rPr>
          <w:lang w:val="es_ES" w:bidi="es_ES"/>
        </w:rPr>
        <w:t>Malaquías presenta una breve teología de Dios con el objetivo de corregir el pensamiento erróneo del pueblo de Judá sobre su relación de pacto con el Señor. Malaquías introduce su tesis, (</w:t>
      </w:r>
      <w:hyperlink r:id="rId13">
        <w:r>
          <w:rPr>
            <w:lang w:val="es_ES" w:bidi="es_ES"/>
          </w:rPr>
          <w:rPr>
            <w:color w:val="0000EE"/>
            <w:u w:val="single"/>
          </w:rPr>
          <w:t>1:2</w:t>
        </w:r>
      </w:hyperlink>
      <w:r>
        <w:rPr>
          <w:lang w:val="es_ES" w:bidi="es_ES"/>
        </w:rPr>
        <w:t>), en su primer mensaje (</w:t>
      </w:r>
      <w:hyperlink r:id="rId20">
        <w:r>
          <w:rPr>
            <w:lang w:val="es_ES" w:bidi="es_ES"/>
          </w:rPr>
          <w:rPr>
            <w:color w:val="0000EE"/>
            <w:u w:val="single"/>
          </w:rPr>
          <w:t>1:2–5</w:t>
        </w:r>
      </w:hyperlink>
      <w:r>
        <w:rPr>
          <w:lang w:val="es_ES" w:bidi="es_ES"/>
        </w:rPr>
        <w:t>). El profeta luego discute esta tesis con su oyentes en los cinco mensajes que siguen. El segundo mensaje (</w:t>
      </w:r>
      <w:hyperlink r:id="rId21">
        <w:r>
          <w:rPr>
            <w:lang w:val="es_ES" w:bidi="es_ES"/>
          </w:rPr>
          <w:rPr>
            <w:color w:val="0000EE"/>
            <w:u w:val="single"/>
          </w:rPr>
          <w:t>1:6–2:9</w:t>
        </w:r>
      </w:hyperlink>
      <w:r>
        <w:rPr>
          <w:lang w:val="es_ES" w:bidi="es_ES"/>
        </w:rPr>
        <w:t>), dirigido específicamente a los sacerdotes y levitas que sirven en el segundo Templo, afirma que Dios es el Señor y Padre de todo Israel y merece verdadera adoración. El tercer mensaje (</w:t>
      </w:r>
      <w:hyperlink r:id="rId22">
        <w:r>
          <w:rPr>
            <w:lang w:val="es_ES" w:bidi="es_ES"/>
          </w:rPr>
          <w:rPr>
            <w:color w:val="0000EE"/>
            <w:u w:val="single"/>
          </w:rPr>
          <w:t>2:10–16</w:t>
        </w:r>
      </w:hyperlink>
      <w:r>
        <w:rPr>
          <w:lang w:val="es_ES" w:bidi="es_ES"/>
        </w:rPr>
        <w:t>) extiende las implicaciones del amor de Dios a las relaciones humanas, especialmente el matrimonio. El cuarto mensaje (</w:t>
      </w:r>
      <w:hyperlink r:id="rId23">
        <w:r>
          <w:rPr>
            <w:lang w:val="es_ES" w:bidi="es_ES"/>
          </w:rPr>
          <w:rPr>
            <w:color w:val="0000EE"/>
            <w:u w:val="single"/>
          </w:rPr>
          <w:t>2:17–3:5</w:t>
        </w:r>
      </w:hyperlink>
      <w:r>
        <w:rPr>
          <w:lang w:val="es_ES" w:bidi="es_ES"/>
        </w:rPr>
        <w:t>) destaca la justicia de Dios, apela a la honestidad en el habla y en los negocios, y busca una genuina preocupación social. El quinto mensaje (</w:t>
      </w:r>
      <w:hyperlink r:id="rId24">
        <w:r>
          <w:rPr>
            <w:lang w:val="es_ES" w:bidi="es_ES"/>
          </w:rPr>
          <w:rPr>
            <w:color w:val="0000EE"/>
            <w:u w:val="single"/>
          </w:rPr>
          <w:t>3:6–12</w:t>
        </w:r>
      </w:hyperlink>
      <w:r>
        <w:rPr>
          <w:lang w:val="es_ES" w:bidi="es_ES"/>
        </w:rPr>
        <w:t>) enfatiza la fidelidad de Dios a su palabra y llama a Israel a una fidelidad similar en la adoración, especialmente en la entrega de diezmos y ofrendas. El mensaje final (</w:t>
      </w:r>
      <w:hyperlink r:id="rId25">
        <w:r>
          <w:rPr>
            <w:lang w:val="es_ES" w:bidi="es_ES"/>
          </w:rPr>
          <w:rPr>
            <w:color w:val="0000EE"/>
            <w:u w:val="single"/>
          </w:rPr>
          <w:t>3:13–4:3</w:t>
        </w:r>
      </w:hyperlink>
      <w:r>
        <w:rPr>
          <w:lang w:val="es_ES" w:bidi="es_ES"/>
        </w:rPr>
        <w:t>) reitera el deseo de Dios de que Israel sea honesto y fiel en la adoración, en vista del día venidero del Señor.</w:t>
      </w:r>
    </w:p>
    <w:p>
      <w:pPr/>
      <w:r>
        <w:rPr>
          <w:lang w:val="es_ES" w:bidi="es_ES"/>
        </w:rPr>
      </w:r>
      <w:r>
        <w:rPr>
          <w:lang w:val="es_ES" w:bidi="es_ES"/>
        </w:rPr>
        <w:t>El corazón pastoral de Malaquías se manifiesta en su predicación: él comienza y termina con un mensaje de aliento (</w:t>
      </w:r>
      <w:hyperlink r:id="rId13">
        <w:r>
          <w:rPr>
            <w:lang w:val="es_ES" w:bidi="es_ES"/>
          </w:rPr>
          <w:rPr>
            <w:color w:val="0000EE"/>
            <w:u w:val="single"/>
          </w:rPr>
          <w:t>1:2,</w:t>
        </w:r>
      </w:hyperlink>
      <w:r>
        <w:rPr>
          <w:lang w:val="es_ES" w:bidi="es_ES"/>
        </w:rPr>
        <w:t xml:space="preserve"> </w:t>
      </w:r>
      <w:hyperlink r:id="rId26">
        <w:r>
          <w:rPr>
            <w:lang w:val="es_ES" w:bidi="es_ES"/>
          </w:rPr>
          <w:rPr>
            <w:color w:val="0000EE"/>
            <w:u w:val="single"/>
          </w:rPr>
          <w:t>4:2</w:t>
        </w:r>
      </w:hyperlink>
      <w:r>
        <w:rPr>
          <w:lang w:val="es_ES" w:bidi="es_ES"/>
        </w:rPr>
        <w:t>).</w:t>
      </w:r>
    </w:p>
    <w:p>
      <w:pPr>
        <w:pStyle w:val="Heading2"/>
      </w:pPr>
      <w:r>
        <w:rPr>
          <w:lang w:val="es_ES" w:bidi="es_ES"/>
        </w:rPr>
        <w:t>Autoría</w:t>
      </w:r>
    </w:p>
    <w:p>
      <w:pPr/>
      <w:r>
        <w:rPr>
          <w:lang w:val="es_ES" w:bidi="es_ES"/>
        </w:rPr>
      </w:r>
      <w:r>
        <w:rPr>
          <w:lang w:val="es_ES" w:bidi="es_ES"/>
        </w:rPr>
        <w:t xml:space="preserve">El libro de Malaquías no menciona explícitamente a su autor, pero se asume que el profeta Malaquías escribió sus propios sermones debido a la declaración en </w:t>
      </w:r>
      <w:hyperlink r:id="rId27">
        <w:r>
          <w:rPr>
            <w:lang w:val="es_ES" w:bidi="es_ES"/>
          </w:rPr>
          <w:rPr>
            <w:color w:val="0000EE"/>
            <w:u w:val="single"/>
          </w:rPr>
          <w:t>1:1</w:t>
        </w:r>
      </w:hyperlink>
      <w:r>
        <w:rPr>
          <w:lang w:val="es_ES" w:bidi="es_ES"/>
        </w:rPr>
        <w:t xml:space="preserve"> (“el mensaje que el Señor dio... a través del profeta Malaquías”). No sabemos nada de Malaquías fuera de este libro; incluso allí, la única información biográfica proporcionada es que él era un profeta (</w:t>
      </w:r>
      <w:hyperlink r:id="rId27">
        <w:r>
          <w:rPr>
            <w:lang w:val="es_ES" w:bidi="es_ES"/>
          </w:rPr>
          <w:rPr>
            <w:color w:val="0000EE"/>
            <w:u w:val="single"/>
          </w:rPr>
          <w:t>1:1</w:t>
        </w:r>
      </w:hyperlink>
      <w:r>
        <w:rPr>
          <w:lang w:val="es_ES" w:bidi="es_ES"/>
        </w:rPr>
        <w:t>).</w:t>
      </w:r>
    </w:p>
    <w:p>
      <w:pPr>
        <w:pStyle w:val="Heading2"/>
      </w:pPr>
      <w:r>
        <w:rPr>
          <w:lang w:val="es_ES" w:bidi="es_ES"/>
        </w:rPr>
        <w:t>Fecha</w:t>
      </w:r>
    </w:p>
    <w:p>
      <w:pPr/>
      <w:r>
        <w:rPr>
          <w:lang w:val="es_ES" w:bidi="es_ES"/>
        </w:rPr>
      </w:r>
      <w:r>
        <w:rPr>
          <w:lang w:val="es_ES" w:bidi="es_ES"/>
        </w:rPr>
        <w:t xml:space="preserve">A diferencia de muchos otros libros proféticos, Malaquías no contiene una fórmula de fecha que vincule el mensaje del profeta al reinado de ningún rey en particular (por ejemplo, </w:t>
      </w:r>
      <w:hyperlink r:id="rId28">
        <w:r>
          <w:rPr>
            <w:lang w:val="es_ES" w:bidi="es_ES"/>
          </w:rPr>
          <w:rPr>
            <w:color w:val="0000EE"/>
            <w:u w:val="single"/>
          </w:rPr>
          <w:t>So 1:1,</w:t>
        </w:r>
      </w:hyperlink>
      <w:r>
        <w:rPr>
          <w:lang w:val="es_ES" w:bidi="es_ES"/>
        </w:rPr>
        <w:t xml:space="preserve"> </w:t>
      </w:r>
      <w:hyperlink r:id="rId29">
        <w:r>
          <w:rPr>
            <w:lang w:val="es_ES" w:bidi="es_ES"/>
          </w:rPr>
          <w:rPr>
            <w:color w:val="0000EE"/>
            <w:u w:val="single"/>
          </w:rPr>
          <w:t>Hg 1:1,</w:t>
        </w:r>
      </w:hyperlink>
      <w:r>
        <w:rPr>
          <w:lang w:val="es_ES" w:bidi="es_ES"/>
        </w:rPr>
        <w:t xml:space="preserve"> </w:t>
      </w:r>
      <w:hyperlink r:id="rId30">
        <w:r>
          <w:rPr>
            <w:lang w:val="es_ES" w:bidi="es_ES"/>
          </w:rPr>
          <w:rPr>
            <w:color w:val="0000EE"/>
            <w:u w:val="single"/>
          </w:rPr>
          <w:t>Za 1:1</w:t>
        </w:r>
      </w:hyperlink>
      <w:r>
        <w:rPr>
          <w:lang w:val="es_ES" w:bidi="es_ES"/>
        </w:rP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hyperlink r:id="rId31">
        <w:r>
          <w:rPr>
            <w:lang w:val="es_ES" w:bidi="es_ES"/>
          </w:rPr>
          <w:rPr>
            <w:color w:val="0000EE"/>
            <w:u w:val="single"/>
          </w:rPr>
          <w:t>Hg 2:21–22</w:t>
        </w:r>
      </w:hyperlink>
      <w:r>
        <w:rPr>
          <w:lang w:val="es_ES" w:bidi="es_ES"/>
        </w:rPr>
        <w:t>). También es posible que Malaquías escribiera más tarde, en los años 400 a. C.</w:t>
      </w:r>
    </w:p>
    <w:p>
      <w:pPr>
        <w:pStyle w:val="Heading2"/>
      </w:pPr>
      <w:r>
        <w:rPr>
          <w:lang w:val="es_ES" w:bidi="es_ES"/>
        </w:rPr>
        <w:t>Género Literario</w:t>
      </w:r>
    </w:p>
    <w:p>
      <w:pPr/>
      <w:r>
        <w:rPr>
          <w:lang w:val="es_ES" w:bidi="es_ES"/>
        </w:rPr>
      </w:r>
      <w:r>
        <w:rPr>
          <w:lang w:val="es_ES" w:bidi="es_ES"/>
        </w:rP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hyperlink r:id="rId32">
        <w:r>
          <w:rPr>
            <w:lang w:val="es_ES" w:bidi="es_ES"/>
          </w:rPr>
          <w:rPr>
            <w:color w:val="0000EE"/>
            <w:u w:val="single"/>
          </w:rPr>
          <w:t>Mateo 5:21–22</w:t>
        </w:r>
      </w:hyperlink>
      <w:r>
        <w:rPr>
          <w:lang w:val="es_ES" w:bidi="es_ES"/>
        </w:rPr>
        <w:t xml:space="preserve">, </w:t>
      </w:r>
      <w:hyperlink r:id="rId33">
        <w:r>
          <w:rPr>
            <w:lang w:val="es_ES" w:bidi="es_ES"/>
          </w:rPr>
          <w:rPr>
            <w:color w:val="0000EE"/>
            <w:u w:val="single"/>
          </w:rPr>
          <w:t>27–28</w:t>
        </w:r>
      </w:hyperlink>
      <w:r>
        <w:rPr>
          <w:lang w:val="es_ES" w:bidi="es_ES"/>
        </w:rPr>
        <w:t>: “Oísteis que fue dicho... Mas yo digo...”).</w:t>
      </w:r>
    </w:p>
    <w:p>
      <w:pPr>
        <w:pStyle w:val="Heading2"/>
      </w:pPr>
      <w:r>
        <w:rPr>
          <w:lang w:val="es_ES" w:bidi="es_ES"/>
        </w:rPr>
        <w:t>Significado y Mensaje</w:t>
      </w:r>
    </w:p>
    <w:p>
      <w:pPr/>
      <w:r>
        <w:rPr>
          <w:lang w:val="es_ES" w:bidi="es_ES"/>
        </w:rPr>
      </w:r>
      <w:r>
        <w:rPr>
          <w:lang w:val="es_ES" w:bidi="es_ES"/>
        </w:rPr>
        <w:t>Malaquías busca motivar a las personas a alinearse con el plan de Dios. La predicación de Malaquías se centra en el pacto que estableció una relación entre Dios e Israel, junto con sus obligaciones y responsabilidades asociadas.</w:t>
      </w:r>
    </w:p>
    <w:p>
      <w:pPr/>
      <w:r>
        <w:rPr>
          <w:lang w:val="es_ES" w:bidi="es_ES"/>
        </w:rPr>
      </w:r>
      <w:r>
        <w:rPr>
          <w:lang w:val="es_ES" w:bidi="es_ES"/>
        </w:rP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pPr/>
      <w:r>
        <w:rPr>
          <w:lang w:val="es_ES" w:bidi="es_ES"/>
        </w:rPr>
      </w:r>
      <w:r>
        <w:rPr>
          <w:lang w:val="es_ES" w:bidi="es_ES"/>
        </w:rP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