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w:t>
      </w:r>
      <w:r/>
    </w:p>
    <w:p>
      <w:r/>
      <w: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1"/>
      </w:pPr>
      <w:r>
        <w:rPr>
          <w:b/>
        </w:rPr>
        <w:t>Contexte</w:t>
      </w:r>
    </w:p>
    <w:p>
      <w:r/>
      <w:r>
        <w:t>Moïse avait anticipé que le peuple allait demander un roi pour régner sur eux (</w:t>
      </w:r>
      <w:hyperlink r:id="rId15">
        <w:r>
          <w:rPr>
            <w:color w:val="0000EE"/>
            <w:u w:val="single"/>
          </w:rPr>
          <w:t>Dt 17.14–20</w:t>
        </w:r>
      </w:hyperlink>
      <w:r>
        <w:t>). Dieu avait défini les critères à respecter pour choisir un roi (</w:t>
      </w:r>
      <w:hyperlink r:id="rId16">
        <w:r>
          <w:rPr>
            <w:color w:val="0000EE"/>
            <w:u w:val="single"/>
          </w:rPr>
          <w:t>Dt 17.15</w:t>
        </w:r>
      </w:hyperlink>
      <w:r>
        <w:t>), tout en avertissant des dérives possibles liées à la royauté humaine : soif de puissance, multiplication des épouses, recherche de richesses (</w:t>
      </w:r>
      <w:hyperlink r:id="rId17">
        <w:r>
          <w:rPr>
            <w:color w:val="0000EE"/>
            <w:u w:val="single"/>
          </w:rPr>
          <w:t>Dt 17.16–17</w:t>
        </w:r>
      </w:hyperlink>
      <w:r>
        <w:t>). Pour contrebalancer ces penchants, chaque roi devait étudier la loi de Dieu (</w:t>
      </w:r>
      <w:hyperlink r:id="rId18">
        <w:r>
          <w:rPr>
            <w:color w:val="0000EE"/>
            <w:u w:val="single"/>
          </w:rPr>
          <w:t>Dt 17.18–20</w:t>
        </w:r>
      </w:hyperlink>
      <w:r>
        <w:t>).</w:t>
      </w:r>
    </w:p>
    <w:p>
      <w:r/>
      <w:r>
        <w:t xml:space="preserve">Tout au long de l'époque des juges, les tribus d'Israël manquaient d'unité (voir </w:t>
      </w:r>
      <w:hyperlink r:id="rId19">
        <w:r>
          <w:rPr>
            <w:color w:val="0000EE"/>
            <w:u w:val="single"/>
          </w:rPr>
          <w:t>Jg 17–21</w:t>
        </w:r>
      </w:hyperlink>
      <w:r>
        <w:t>). À l’époque de Samuel, Israël cherchait un roi pour unifier la nation et la protéger des menaces internes et externes.</w:t>
      </w:r>
    </w:p>
    <w:p>
      <w:r/>
      <w:r>
        <w:t>Gédéon, qui avait exercé sa fonction de juge environ un siècle avant Samuel, agissait déjà comme un roi. Il avait refusé d’établir une dynastie (</w:t>
      </w:r>
      <w:hyperlink r:id="rId20">
        <w:r>
          <w:rPr>
            <w:color w:val="0000EE"/>
            <w:u w:val="single"/>
          </w:rPr>
          <w:t>Jg 8.22–23</w:t>
        </w:r>
      </w:hyperlink>
      <w:r>
        <w:t>), mais il se comportait comme un souverain : il avait amassé de l’or pour créer une idole (</w:t>
      </w:r>
      <w:hyperlink r:id="rId21">
        <w:r>
          <w:rPr>
            <w:color w:val="0000EE"/>
            <w:u w:val="single"/>
          </w:rPr>
          <w:t>Jg 8.24–27</w:t>
        </w:r>
      </w:hyperlink>
      <w:r>
        <w:t>), pris de nombreuses épouses (</w:t>
      </w:r>
      <w:hyperlink r:id="rId22">
        <w:r>
          <w:rPr>
            <w:color w:val="0000EE"/>
            <w:u w:val="single"/>
          </w:rPr>
          <w:t>Jg 8.30</w:t>
        </w:r>
      </w:hyperlink>
      <w:r>
        <w:t>), et il a même nommé l'un de ses fils Abimélec, ce qui signifie « mon père est roi » (</w:t>
      </w:r>
      <w:hyperlink r:id="rId23">
        <w:r>
          <w:rPr>
            <w:color w:val="0000EE"/>
            <w:u w:val="single"/>
          </w:rPr>
          <w:t>Jg 8.31</w:t>
        </w:r>
      </w:hyperlink>
      <w: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1"/>
      </w:pPr>
      <w:r>
        <w:t>Résumé</w:t>
      </w:r>
    </w:p>
    <w:p>
      <w:r/>
      <w:r>
        <w:t xml:space="preserve">Dans les chapitres </w:t>
      </w:r>
      <w:hyperlink r:id="rId24">
        <w:r>
          <w:rPr>
            <w:color w:val="0000EE"/>
            <w:u w:val="single"/>
          </w:rPr>
          <w:t xml:space="preserve">1 </w:t>
        </w:r>
      </w:hyperlink>
      <w:r>
        <w:t xml:space="preserve">à </w:t>
      </w:r>
      <w:hyperlink r:id="rId24">
        <w:r>
          <w:rPr>
            <w:color w:val="0000EE"/>
            <w:u w:val="single"/>
          </w:rPr>
          <w:t>7</w:t>
        </w:r>
      </w:hyperlink>
      <w:r>
        <w:t>, Samuel émerge en tant que juge et prophète de Dieu. Fils d’Anne, une femme pieuse autrefois stérile (</w:t>
      </w:r>
      <w:hyperlink r:id="rId25">
        <w:r>
          <w:rPr>
            <w:color w:val="0000EE"/>
            <w:u w:val="single"/>
          </w:rPr>
          <w:t>1.1–23</w:t>
        </w:r>
      </w:hyperlink>
      <w:r>
        <w:t>), Samuel, un Lévite, (</w:t>
      </w:r>
      <w:hyperlink r:id="rId26">
        <w:r>
          <w:rPr>
            <w:color w:val="0000EE"/>
            <w:u w:val="single"/>
          </w:rPr>
          <w:t>1Ch 6.33–34</w:t>
        </w:r>
      </w:hyperlink>
      <w:r>
        <w:t>), avait été confié au tabernacle sous la responsabilité d’Éli, le sacrificateur (</w:t>
      </w:r>
      <w:hyperlink r:id="rId27">
        <w:r>
          <w:rPr>
            <w:color w:val="0000EE"/>
            <w:u w:val="single"/>
          </w:rPr>
          <w:t>1.24–3.18</w:t>
        </w:r>
      </w:hyperlink>
      <w:r>
        <w:t>). D’abord formé comme assistant, Samuel était devenu prophète, et sa réputation s’était étendue (</w:t>
      </w:r>
      <w:hyperlink r:id="rId28">
        <w:r>
          <w:rPr>
            <w:color w:val="0000EE"/>
            <w:u w:val="single"/>
          </w:rPr>
          <w:t>3.19–4.1a</w:t>
        </w:r>
      </w:hyperlink>
      <w:r>
        <w:t>). Absent du récit de la prise de l’arche par les Philistins, sans doute parce qu’il n’agissait pas encore publiquement dans la vie nationale d'Israël (</w:t>
      </w:r>
      <w:hyperlink r:id="rId29">
        <w:r>
          <w:rPr>
            <w:color w:val="0000EE"/>
            <w:u w:val="single"/>
          </w:rPr>
          <w:t>4.1–7.2</w:t>
        </w:r>
      </w:hyperlink>
      <w:r>
        <w:t xml:space="preserve">), il réapparaît au chap. </w:t>
      </w:r>
      <w:hyperlink r:id="rId30">
        <w:r>
          <w:rPr>
            <w:color w:val="0000EE"/>
            <w:u w:val="single"/>
          </w:rPr>
          <w:t>7</w:t>
        </w:r>
      </w:hyperlink>
      <w:r>
        <w:t>, appelle Israël à la repentance et, en tant que juge, chasse les oppresseurs philistins.</w:t>
      </w:r>
    </w:p>
    <w:p>
      <w:r/>
      <w:r>
        <w:t>En tant que Lévite, prophète et juge, Samuel exerçait un leadership complet, s'étendant à toutes les sphères de la vie publique. Pourtant, ses fils ne se sont pas montrés dignes de lui succéder (</w:t>
      </w:r>
      <w:hyperlink r:id="rId31">
        <w:r>
          <w:rPr>
            <w:color w:val="0000EE"/>
            <w:u w:val="single"/>
          </w:rPr>
          <w:t>8.1–3</w:t>
        </w:r>
      </w:hyperlink>
      <w:r>
        <w:t>). Le peuple a alors demandé un roi pour les diriger, comme les autres nations. Samuel s’y est opposé (</w:t>
      </w:r>
      <w:hyperlink r:id="rId32">
        <w:r>
          <w:rPr>
            <w:color w:val="0000EE"/>
            <w:u w:val="single"/>
          </w:rPr>
          <w:t>8.10–21</w:t>
        </w:r>
      </w:hyperlink>
      <w:r>
        <w:t xml:space="preserve">), mais l’Éternel lui a ordonné d’oindre Saül (chap. </w:t>
      </w:r>
      <w:hyperlink r:id="rId33">
        <w:r>
          <w:rPr>
            <w:color w:val="0000EE"/>
            <w:u w:val="single"/>
          </w:rPr>
          <w:t>9–10</w:t>
        </w:r>
      </w:hyperlink>
      <w:r>
        <w:t xml:space="preserve">). Dans son discours d’adieu (chap. </w:t>
      </w:r>
      <w:hyperlink r:id="rId34">
        <w:r>
          <w:rPr>
            <w:color w:val="0000EE"/>
            <w:u w:val="single"/>
          </w:rPr>
          <w:t>12</w:t>
        </w:r>
      </w:hyperlink>
      <w:r>
        <w:t>), Samuel a rappelé la fidélité de Dieu et a souligné que la demande d’un roi révélait un manque de confiance envers l’Éternel.</w:t>
      </w:r>
    </w:p>
    <w:p>
      <w:r/>
      <w:r>
        <w:t xml:space="preserve">Au début, Saül était un bon roi. Il a vaincu les Ammonites voisins et sauvé la ville de Jabès en Galaad de la destruction (chap. </w:t>
      </w:r>
      <w:hyperlink r:id="rId35">
        <w:r>
          <w:rPr>
            <w:color w:val="0000EE"/>
            <w:u w:val="single"/>
          </w:rPr>
          <w:t>11</w:t>
        </w:r>
      </w:hyperlink>
      <w:r>
        <w:t xml:space="preserve">). Mais il a ensuite révélé son inaptitude à gouverner selon les directives divines (chap. </w:t>
      </w:r>
      <w:hyperlink r:id="rId36">
        <w:r>
          <w:rPr>
            <w:color w:val="0000EE"/>
            <w:u w:val="single"/>
          </w:rPr>
          <w:t>13</w:t>
        </w:r>
      </w:hyperlink>
      <w:r>
        <w:t xml:space="preserve">, </w:t>
      </w:r>
      <w:hyperlink r:id="rId37">
        <w:r>
          <w:rPr>
            <w:color w:val="0000EE"/>
            <w:u w:val="single"/>
          </w:rPr>
          <w:t>15</w:t>
        </w:r>
      </w:hyperlink>
      <w:r>
        <w:t>). En revanche, son fils Jonathan semblait un successeur de Saül idéal (</w:t>
      </w:r>
      <w:hyperlink r:id="rId38">
        <w:r>
          <w:rPr>
            <w:color w:val="0000EE"/>
            <w:u w:val="single"/>
          </w:rPr>
          <w:t>14.1–52</w:t>
        </w:r>
      </w:hyperlink>
      <w:r>
        <w:t xml:space="preserve">). Toutefois, Dieu avait un autre plan (chap. </w:t>
      </w:r>
      <w:hyperlink r:id="rId39">
        <w:r>
          <w:rPr>
            <w:color w:val="0000EE"/>
            <w:u w:val="single"/>
          </w:rPr>
          <w:t>16</w:t>
        </w:r>
      </w:hyperlink>
      <w:hyperlink r:id="rId40">
        <w:r>
          <w:rPr>
            <w:color w:val="0000EE"/>
            <w:u w:val="single"/>
          </w:rPr>
          <w:t>–</w:t>
        </w:r>
      </w:hyperlink>
      <w:hyperlink r:id="rId39">
        <w:r>
          <w:rPr>
            <w:color w:val="0000EE"/>
            <w:u w:val="single"/>
          </w:rPr>
          <w:t>31</w:t>
        </w:r>
      </w:hyperlink>
      <w:r>
        <w:t>). Dieu a ainsi ordonné à Samuel d’oindre secrètement David, alors que Saül régnait encore (</w:t>
      </w:r>
      <w:hyperlink r:id="rId41">
        <w:r>
          <w:rPr>
            <w:color w:val="0000EE"/>
            <w:u w:val="single"/>
          </w:rPr>
          <w:t>16.1–13</w:t>
        </w:r>
      </w:hyperlink>
      <w:r>
        <w:t>).</w:t>
      </w:r>
    </w:p>
    <w:p>
      <w:r/>
      <w:r>
        <w:t>Au début, la relation entre Saül et David était bonne, en partie grâce aux dons musicaux de David (</w:t>
      </w:r>
      <w:hyperlink r:id="rId42">
        <w:r>
          <w:rPr>
            <w:color w:val="0000EE"/>
            <w:u w:val="single"/>
          </w:rPr>
          <w:t>16.14–23</w:t>
        </w:r>
      </w:hyperlink>
      <w:r>
        <w:t>). Mais après la victoire de David contre Goliath (</w:t>
      </w:r>
      <w:hyperlink r:id="rId43">
        <w:r>
          <w:rPr>
            <w:color w:val="0000EE"/>
            <w:u w:val="single"/>
          </w:rPr>
          <w:t>17.1–58</w:t>
        </w:r>
      </w:hyperlink>
      <w:r>
        <w:t>) la jalousie de Saül a repris le dessus (</w:t>
      </w:r>
      <w:hyperlink r:id="rId44">
        <w:r>
          <w:rPr>
            <w:color w:val="0000EE"/>
            <w:u w:val="single"/>
          </w:rPr>
          <w:t>18.6–16</w:t>
        </w:r>
      </w:hyperlink>
      <w:r>
        <w:t>). Saül a tenté d’éliminer David en le mariant à sa fille (</w:t>
      </w:r>
      <w:hyperlink r:id="rId45">
        <w:r>
          <w:rPr>
            <w:color w:val="0000EE"/>
            <w:u w:val="single"/>
          </w:rPr>
          <w:t>18.17–29</w:t>
        </w:r>
      </w:hyperlink>
      <w:r>
        <w:t>), en l'attaquant pour essayer de le tuer (</w:t>
      </w:r>
      <w:hyperlink r:id="rId46">
        <w:r>
          <w:rPr>
            <w:color w:val="0000EE"/>
            <w:u w:val="single"/>
          </w:rPr>
          <w:t>19.1–10</w:t>
        </w:r>
      </w:hyperlink>
      <w:r>
        <w:t xml:space="preserve">) et en exécutant ceux qui l’avaient aidé (chap. </w:t>
      </w:r>
      <w:hyperlink r:id="rId47">
        <w:r>
          <w:rPr>
            <w:color w:val="0000EE"/>
            <w:u w:val="single"/>
          </w:rPr>
          <w:t>21–22</w:t>
        </w:r>
      </w:hyperlink>
      <w:r>
        <w:t>). Pourtant, toutes ces tentatives ont échoué.</w:t>
      </w:r>
    </w:p>
    <w:p>
      <w:r/>
      <w:r>
        <w:t>Saül et Jonathan sont tous deux morts au combat contre les Philistins (</w:t>
      </w:r>
      <w:hyperlink r:id="rId48">
        <w:r>
          <w:rPr>
            <w:color w:val="0000EE"/>
            <w:u w:val="single"/>
          </w:rPr>
          <w:t>31.1–6</w:t>
        </w:r>
      </w:hyperlink>
      <w:r>
        <w:t xml:space="preserve">), ouvrant la voie au règne de David, qui a débuté dans un contexte encore conflictuel (voir </w:t>
      </w:r>
      <w:hyperlink r:id="rId49">
        <w:r>
          <w:rPr>
            <w:color w:val="0000EE"/>
            <w:u w:val="single"/>
          </w:rPr>
          <w:t>2S 1.1–5.5</w:t>
        </w:r>
      </w:hyperlink>
      <w:r>
        <w:t>).</w:t>
      </w:r>
    </w:p>
    <w:p>
      <w:pPr>
        <w:pStyle w:val="Heading1"/>
      </w:pPr>
      <w:r>
        <w:t>Auteur</w:t>
      </w:r>
    </w:p>
    <w:p>
      <w:r/>
      <w: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hyperlink r:id="rId50">
        <w:r>
          <w:rPr>
            <w:color w:val="0000EE"/>
            <w:u w:val="single"/>
          </w:rPr>
          <w:t>1S 25.1</w:t>
        </w:r>
      </w:hyperlink>
      <w:r>
        <w:t>. Le rédacteur final de 1 Samuel reste inconnu.</w:t>
      </w:r>
    </w:p>
    <w:p>
      <w:pPr>
        <w:pStyle w:val="Heading1"/>
      </w:pPr>
      <w:r>
        <w:t>Rédaction</w:t>
      </w:r>
    </w:p>
    <w:p>
      <w:r/>
      <w: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r/>
      <w: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hyperlink r:id="rId51">
        <w:r>
          <w:rPr>
            <w:color w:val="0000EE"/>
            <w:u w:val="single"/>
          </w:rPr>
          <w:t xml:space="preserve">1Ch 29.29 </w:t>
        </w:r>
      </w:hyperlink>
      <w:r>
        <w:t>nous apprend que Samuel, Nathan et Gad ont écrit à propos d</w:t>
      </w:r>
      <w:r>
        <w:t xml:space="preserve">es actions du roi David). </w:t>
      </w:r>
      <w:r>
        <w:t>L’auteur inspiré de 1–2 Samuel a utilisé ces matériaux. Cependant, le livre a peut-être atteint sa forme finale peu après le règne de Salomon (971–931 av. J.-C.).</w:t>
      </w:r>
    </w:p>
    <w:p>
      <w:r/>
      <w: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1"/>
      </w:pPr>
      <w:r>
        <w:t>Manuscrits</w:t>
      </w:r>
    </w:p>
    <w:p>
      <w:r/>
      <w: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1"/>
      </w:pPr>
      <w:r>
        <w:t>Signification et message</w:t>
      </w:r>
    </w:p>
    <w:p>
      <w:r/>
      <w:r>
        <w:t xml:space="preserve">L’accent sur la royauté dans 1 Samuel apparaît dès la prière d’Anne (voir </w:t>
      </w:r>
      <w:hyperlink r:id="rId52">
        <w:r>
          <w:rPr>
            <w:color w:val="0000EE"/>
            <w:u w:val="single"/>
          </w:rPr>
          <w:t>2.10</w:t>
        </w:r>
      </w:hyperlink>
      <w:r>
        <w:t>). L’idée qu’Israël allait avoir un roi remontait à la promesse faite par Dieu à Abraham et Sara (</w:t>
      </w:r>
      <w:hyperlink r:id="rId53">
        <w:r>
          <w:rPr>
            <w:color w:val="0000EE"/>
            <w:u w:val="single"/>
          </w:rPr>
          <w:t>Gn 17.6</w:t>
        </w:r>
      </w:hyperlink>
      <w:r>
        <w:t xml:space="preserve">, </w:t>
      </w:r>
      <w:hyperlink r:id="rId54">
        <w:r>
          <w:rPr>
            <w:color w:val="0000EE"/>
            <w:u w:val="single"/>
          </w:rPr>
          <w:t>16</w:t>
        </w:r>
      </w:hyperlink>
      <w:r>
        <w:t xml:space="preserve">). Dieu n’a ni exigé ni interdit la monarchie, mais il a précisé les excès que les rois d’Israël devraient éviter (voir </w:t>
      </w:r>
      <w:hyperlink r:id="rId15">
        <w:r>
          <w:rPr>
            <w:color w:val="0000EE"/>
            <w:u w:val="single"/>
          </w:rPr>
          <w:t>Dt 17.14–20</w:t>
        </w:r>
      </w:hyperlink>
      <w:r>
        <w:t>).</w:t>
      </w:r>
    </w:p>
    <w:p>
      <w:r/>
      <w:r>
        <w:t xml:space="preserve">Durant la période des juges, Israël s’est profondément détérioré, aussi bien spirituellement que politiquement. Cette déchéance a atteint son paroxysme dans </w:t>
      </w:r>
      <w:hyperlink r:id="rId19">
        <w:r>
          <w:rPr>
            <w:color w:val="0000EE"/>
            <w:u w:val="single"/>
          </w:rPr>
          <w:t>Jg 17</w:t>
        </w:r>
      </w:hyperlink>
      <w:hyperlink r:id="rId40">
        <w:r>
          <w:rPr>
            <w:color w:val="0000EE"/>
            <w:u w:val="single"/>
          </w:rPr>
          <w:t>–</w:t>
        </w:r>
      </w:hyperlink>
      <w:hyperlink r:id="rId19">
        <w:r>
          <w:rPr>
            <w:color w:val="0000EE"/>
            <w:u w:val="single"/>
          </w:rPr>
          <w:t>21</w:t>
        </w:r>
      </w:hyperlink>
      <w: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r/>
      <w:r>
        <w:t>Si le roi devait administrer l’alliance (</w:t>
      </w:r>
      <w:hyperlink r:id="rId18">
        <w:r>
          <w:rPr>
            <w:color w:val="0000EE"/>
            <w:u w:val="single"/>
          </w:rPr>
          <w:t>Dt 17.18–20</w:t>
        </w:r>
      </w:hyperlink>
      <w:r>
        <w:t>), le rôle du prophète consistait à en interpréter les clauses. C’est pourquoi le prophète Samuel a défendu avec zèle son autorité divine sur la royauté. Il a non seulement oint les deux premiers rois d’Israël (</w:t>
      </w:r>
      <w:hyperlink r:id="rId55">
        <w:r>
          <w:rPr>
            <w:color w:val="0000EE"/>
            <w:u w:val="single"/>
          </w:rPr>
          <w:t xml:space="preserve">1S 10.1 </w:t>
        </w:r>
      </w:hyperlink>
      <w:r>
        <w:t xml:space="preserve">; </w:t>
      </w:r>
      <w:hyperlink r:id="rId56">
        <w:r>
          <w:rPr>
            <w:color w:val="0000EE"/>
            <w:u w:val="single"/>
          </w:rPr>
          <w:t>16.13</w:t>
        </w:r>
      </w:hyperlink>
      <w:r>
        <w:t>), mais il a aussi dû les reprendre lorsqu’ils ont enfreint les limites de l’alliance (</w:t>
      </w:r>
      <w:hyperlink r:id="rId57">
        <w:r>
          <w:rPr>
            <w:color w:val="0000EE"/>
            <w:u w:val="single"/>
          </w:rPr>
          <w:t>13.8–15</w:t>
        </w:r>
      </w:hyperlink>
      <w:r>
        <w:t xml:space="preserve">; </w:t>
      </w:r>
      <w:hyperlink r:id="rId58">
        <w:r>
          <w:rPr>
            <w:color w:val="0000EE"/>
            <w:u w:val="single"/>
          </w:rPr>
          <w:t>15.10–33</w:t>
        </w:r>
      </w:hyperlink>
      <w:r>
        <w:t>).</w:t>
      </w:r>
    </w:p>
    <w:p>
      <w:r/>
      <w: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r/>
      <w: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hyperlink r:id="rId59">
        <w:r>
          <w:rPr>
            <w:color w:val="0000EE"/>
            <w:u w:val="single"/>
          </w:rPr>
          <w:t>1</w:t>
        </w:r>
      </w:hyperlink>
      <w:r>
        <w:t xml:space="preserve">) ; (2) une défaite accablante face aux Philistins est devenue victoire sans intervention humaine face à ces mêmes Philistins (chap. </w:t>
      </w:r>
      <w:hyperlink r:id="rId40">
        <w:r>
          <w:rPr>
            <w:color w:val="0000EE"/>
            <w:u w:val="single"/>
          </w:rPr>
          <w:t>4–6</w:t>
        </w:r>
      </w:hyperlink>
      <w:r>
        <w:t xml:space="preserve">) ; (3) le roi demandé par le peuple est devenu l’oint de Dieu (chap. </w:t>
      </w:r>
      <w:hyperlink r:id="rId60">
        <w:r>
          <w:rPr>
            <w:color w:val="0000EE"/>
            <w:u w:val="single"/>
          </w:rPr>
          <w:t>8–10</w:t>
        </w:r>
      </w:hyperlink>
      <w:r>
        <w:t xml:space="preserve">) ; (4) ce roi a été rejeté par Dieu pour son infidélité (chap. </w:t>
      </w:r>
      <w:hyperlink r:id="rId36">
        <w:r>
          <w:rPr>
            <w:color w:val="0000EE"/>
            <w:u w:val="single"/>
          </w:rPr>
          <w:t>13</w:t>
        </w:r>
      </w:hyperlink>
      <w:r>
        <w:t xml:space="preserve">, </w:t>
      </w:r>
      <w:hyperlink r:id="rId37">
        <w:r>
          <w:rPr>
            <w:color w:val="0000EE"/>
            <w:u w:val="single"/>
          </w:rPr>
          <w:t>15</w:t>
        </w:r>
      </w:hyperlink>
      <w:r>
        <w:t xml:space="preserve">) ; et (5) le huitième fils d'une famille obscure, un homme selon le cœur de Dieu, a été choisi comme futur roi d'Israël (chap. </w:t>
      </w:r>
      <w:hyperlink r:id="rId61">
        <w:r>
          <w:rPr>
            <w:color w:val="0000EE"/>
            <w:u w:val="single"/>
          </w:rPr>
          <w:t>16</w:t>
        </w:r>
      </w:hyperlink>
      <w:r>
        <w:t>).</w:t>
      </w:r>
    </w:p>
    <w:p>
      <w:r/>
      <w:r>
        <w:t>Contrairement au règne de Saül, la royauté de David a perduré. Et l’un de ses descendants est devenu plus tard le roi souverain du monde entier. Jésus est l’héritier final du trône de David (</w:t>
      </w:r>
      <w:hyperlink r:id="rId62">
        <w:r>
          <w:rPr>
            <w:color w:val="0000EE"/>
            <w:u w:val="single"/>
          </w:rPr>
          <w:t>Jn 7.42</w:t>
        </w:r>
      </w:hyperlink>
      <w:r>
        <w:t xml:space="preserve"> ; </w:t>
      </w:r>
      <w:hyperlink r:id="rId63">
        <w:r>
          <w:rPr>
            <w:color w:val="0000EE"/>
            <w:u w:val="single"/>
          </w:rPr>
          <w:t>Ap 5.5</w:t>
        </w:r>
      </w:hyperlink>
      <w:r>
        <w:t xml:space="preserve"> ; </w:t>
      </w:r>
      <w:hyperlink r:id="rId64">
        <w:r>
          <w:rPr>
            <w:color w:val="0000EE"/>
            <w:u w:val="single"/>
          </w:rPr>
          <w:t>11.15</w:t>
        </w:r>
      </w:hyperlink>
      <w:r>
        <w:t xml:space="preserve">). Il reflète les vertus de son ancêtre sans en reproduire les défauts. Jésus est le bon berger, le roi éternel et parfait du monde entier.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4:1-1Sam6:21" TargetMode="External"/><Relationship Id="rId41" Type="http://schemas.openxmlformats.org/officeDocument/2006/relationships/hyperlink" Target="https://ref.ly/1Sam16:1-1Sam16:13" TargetMode="External"/><Relationship Id="rId42" Type="http://schemas.openxmlformats.org/officeDocument/2006/relationships/hyperlink" Target="https://ref.ly/1Sam16:14-1Sam16:23" TargetMode="External"/><Relationship Id="rId43" Type="http://schemas.openxmlformats.org/officeDocument/2006/relationships/hyperlink" Target="https://ref.ly/1Sam17:1-1Sam17:58" TargetMode="External"/><Relationship Id="rId44" Type="http://schemas.openxmlformats.org/officeDocument/2006/relationships/hyperlink" Target="https://ref.ly/1Sam18:6-1Sam18:16" TargetMode="External"/><Relationship Id="rId45" Type="http://schemas.openxmlformats.org/officeDocument/2006/relationships/hyperlink" Target="https://ref.ly/1Sam18:17-1Sam18:29" TargetMode="External"/><Relationship Id="rId46" Type="http://schemas.openxmlformats.org/officeDocument/2006/relationships/hyperlink" Target="https://ref.ly/1Sam19:1-1Sam19:10" TargetMode="External"/><Relationship Id="rId47" Type="http://schemas.openxmlformats.org/officeDocument/2006/relationships/hyperlink" Target="https://ref.ly/1Sam21:1-1Sam22:23" TargetMode="External"/><Relationship Id="rId48" Type="http://schemas.openxmlformats.org/officeDocument/2006/relationships/hyperlink" Target="https://ref.ly/1Sam31:1-1Sam31:6" TargetMode="External"/><Relationship Id="rId49" Type="http://schemas.openxmlformats.org/officeDocument/2006/relationships/hyperlink" Target="https://ref.ly/2Sam1:1-2Sam5:5" TargetMode="External"/><Relationship Id="rId50" Type="http://schemas.openxmlformats.org/officeDocument/2006/relationships/hyperlink" Target="https://ref.ly/1Sam25:1" TargetMode="External"/><Relationship Id="rId51" Type="http://schemas.openxmlformats.org/officeDocument/2006/relationships/hyperlink" Target="https://ref.ly/1Chr29:29" TargetMode="External"/><Relationship Id="rId52" Type="http://schemas.openxmlformats.org/officeDocument/2006/relationships/hyperlink" Target="https://ref.ly/1Sam2:10" TargetMode="External"/><Relationship Id="rId53" Type="http://schemas.openxmlformats.org/officeDocument/2006/relationships/hyperlink" Target="https://ref.ly/Gen17:6" TargetMode="External"/><Relationship Id="rId54" Type="http://schemas.openxmlformats.org/officeDocument/2006/relationships/hyperlink" Target="https://ref.ly/Gen17:16" TargetMode="External"/><Relationship Id="rId55" Type="http://schemas.openxmlformats.org/officeDocument/2006/relationships/hyperlink" Target="https://ref.ly/1Sam10:1" TargetMode="External"/><Relationship Id="rId56" Type="http://schemas.openxmlformats.org/officeDocument/2006/relationships/hyperlink" Target="https://ref.ly/1Sam16:13" TargetMode="External"/><Relationship Id="rId57" Type="http://schemas.openxmlformats.org/officeDocument/2006/relationships/hyperlink" Target="https://ref.ly/1Sam13:8-1Sam13:15" TargetMode="External"/><Relationship Id="rId58" Type="http://schemas.openxmlformats.org/officeDocument/2006/relationships/hyperlink" Target="https://ref.ly/1Sam15:10-1Sam15:33" TargetMode="External"/><Relationship Id="rId59" Type="http://schemas.openxmlformats.org/officeDocument/2006/relationships/hyperlink" Target="https://ref.ly/1Sam1:1-1Sam1:28"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