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w:t>
      </w:r>
      <w:r/>
    </w:p>
    <w:p>
      <w:r/>
      <w: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rPr>
        <w:t>oui ! »</w:t>
      </w:r>
      <w: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1"/>
      </w:pPr>
      <w:r>
        <w:t>Contexte</w:t>
      </w:r>
    </w:p>
    <w:p>
      <w:r/>
      <w: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r/>
      <w:r>
        <w:t>Pendant la vie du roi Ozias, Juda peut se permettre de ne pas prêter attention à la crise. Dans l'ensemble, c'est un roi bon et efficace, qui dispose d'une armée forte (</w:t>
      </w:r>
      <w:hyperlink r:id="rId15">
        <w:r>
          <w:rPr>
            <w:color w:val="0000EE"/>
            <w:u w:val="single"/>
          </w:rPr>
          <w:t>2Ch 26.11–15</w:t>
        </w:r>
      </w:hyperlink>
      <w: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hyperlink r:id="rId16">
        <w:r>
          <w:rPr>
            <w:color w:val="0000EE"/>
            <w:u w:val="single"/>
          </w:rPr>
          <w:t>Es 6</w:t>
        </w:r>
      </w:hyperlink>
      <w:r>
        <w:t>).</w:t>
      </w:r>
    </w:p>
    <w:p>
      <w:r/>
      <w: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r/>
      <w: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hyperlink r:id="rId17">
        <w:r>
          <w:rPr>
            <w:color w:val="0000EE"/>
            <w:u w:val="single"/>
          </w:rPr>
          <w:t>2Ch 28.16–21</w:t>
        </w:r>
      </w:hyperlink>
      <w:r>
        <w:t>) plutôt que de mettre sa confiance en Dieu (</w:t>
      </w:r>
      <w:hyperlink r:id="rId18">
        <w:r>
          <w:rPr>
            <w:color w:val="0000EE"/>
            <w:u w:val="single"/>
          </w:rPr>
          <w:t>Es 7.1–12</w:t>
        </w:r>
      </w:hyperlink>
      <w:r>
        <w:t>). Bien que le roi d'Assyrie vainque la Syrie et Israël, il soumet également Juda et lui impose un lourd tribut. Quelques années plus tard (722 av. J.-C.), l'Assyrie bat à nouveau le royaume d'Israël et envoie la plupart des gens du peuple en exil (</w:t>
      </w:r>
      <w:hyperlink r:id="rId19">
        <w:r>
          <w:rPr>
            <w:color w:val="0000EE"/>
            <w:u w:val="single"/>
          </w:rPr>
          <w:t>2R 17.5–18</w:t>
        </w:r>
      </w:hyperlink>
      <w:r>
        <w:t>).</w:t>
      </w:r>
    </w:p>
    <w:p>
      <w:r/>
      <w:r>
        <w:t>En 701 av. J.-C., pendant le règne d'Ézéchias, l'Assyrie envahit à nouveau Juda. Cette fois, Juda se fie à la fidélité de Dieu, et comme promis, celui-ci sauve la nation de l'armée assyrienne (</w:t>
      </w:r>
      <w:hyperlink r:id="rId20">
        <w:r>
          <w:rPr>
            <w:color w:val="0000EE"/>
            <w:u w:val="single"/>
          </w:rPr>
          <w:t>37.21–36</w:t>
        </w:r>
      </w:hyperlink>
      <w:r>
        <w:t>).</w:t>
      </w:r>
    </w:p>
    <w:p>
      <w:r/>
      <w: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r/>
      <w:r>
        <w:t xml:space="preserve">À son retour d'exil (538 av. J.-C. ; voir </w:t>
      </w:r>
      <w:hyperlink r:id="rId21">
        <w:r>
          <w:rPr>
            <w:color w:val="0000EE"/>
            <w:u w:val="single"/>
          </w:rPr>
          <w:t>Esd 1.1–4</w:t>
        </w:r>
      </w:hyperlink>
      <w: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1"/>
      </w:pPr>
      <w:r>
        <w:t>Résumé</w:t>
      </w:r>
    </w:p>
    <w:p>
      <w:r/>
      <w:hyperlink r:id="rId22">
        <w:r>
          <w:rPr>
            <w:color w:val="0000EE"/>
            <w:u w:val="single"/>
          </w:rPr>
          <w:t>Ésaïe 1–39</w:t>
        </w:r>
      </w:hyperlink>
      <w:r>
        <w:t xml:space="preserve"> couvre la période allant de la mort d'Ozias (740 av. J.-C.) à 701 av. J.-C. L'introduction (</w:t>
      </w:r>
      <w:hyperlink r:id="rId23">
        <w:r>
          <w:rPr>
            <w:color w:val="0000EE"/>
            <w:u w:val="single"/>
          </w:rPr>
          <w:t>chap. 1–5</w:t>
        </w:r>
      </w:hyperlink>
      <w: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hyperlink r:id="rId16">
        <w:r>
          <w:rPr>
            <w:color w:val="0000EE"/>
            <w:u w:val="single"/>
          </w:rPr>
          <w:t>chapitre 6</w:t>
        </w:r>
      </w:hyperlink>
      <w: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hyperlink r:id="rId24">
        <w:r>
          <w:rPr>
            <w:color w:val="0000EE"/>
            <w:u w:val="single"/>
          </w:rPr>
          <w:t>chapitres 13–35</w:t>
        </w:r>
      </w:hyperlink>
      <w: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hyperlink r:id="rId25">
        <w:r>
          <w:rPr>
            <w:color w:val="0000EE"/>
            <w:u w:val="single"/>
          </w:rPr>
          <w:t>chapitres 7–12</w:t>
        </w:r>
      </w:hyperlink>
      <w:r>
        <w:t xml:space="preserve">, et celle du roi Ézéchias dans les </w:t>
      </w:r>
      <w:hyperlink r:id="rId26">
        <w:r>
          <w:rPr>
            <w:color w:val="0000EE"/>
            <w:u w:val="single"/>
          </w:rPr>
          <w:t>chapitres 36–39</w:t>
        </w:r>
      </w:hyperlink>
      <w:r>
        <w:t>. Lorsque premier ne se fie pas à Dieu, un désastre s'ensuit. En revanche, c'est le cas de son fils Ézéchias, et une grande délivrance se produit. Cependant, lui aussi connait des moments de faiblesse (</w:t>
      </w:r>
      <w:hyperlink r:id="rId27">
        <w:r>
          <w:rPr>
            <w:color w:val="0000EE"/>
            <w:u w:val="single"/>
          </w:rPr>
          <w:t>chap. 39</w:t>
        </w:r>
      </w:hyperlink>
      <w:r>
        <w:t>), préparant le terrain à la défaite ultérieure de Juda et à l'exil à Babylone.</w:t>
      </w:r>
    </w:p>
    <w:p>
      <w:r/>
      <w:hyperlink r:id="rId28">
        <w:r>
          <w:rPr>
            <w:color w:val="0000EE"/>
            <w:u w:val="single"/>
          </w:rPr>
          <w:t>Ésaïe 40–55</w:t>
        </w:r>
      </w:hyperlink>
      <w: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hyperlink r:id="rId29">
        <w:r>
          <w:rPr>
            <w:color w:val="0000EE"/>
            <w:u w:val="single"/>
          </w:rPr>
          <w:t>chapitres 40–48</w:t>
        </w:r>
      </w:hyperlink>
      <w:r>
        <w:t xml:space="preserve">, Ésaïe montre que Dieu est infiniment supérieur à n'importe quel dieu idole. Son peuple en sera la preuve lorsque Dieu le sauvera des mains finalement impuissantes de Babylone. Dans les </w:t>
      </w:r>
      <w:hyperlink r:id="rId30">
        <w:r>
          <w:rPr>
            <w:color w:val="0000EE"/>
            <w:u w:val="single"/>
          </w:rPr>
          <w:t>chapitres 49–55</w:t>
        </w:r>
      </w:hyperlink>
      <w:r>
        <w:t>, le prophète aborde la question plus profonde du péché de Juda. Tout comme Dieu l'a sauvé de Babylone, il a également l'intention de sauver un reste du peuple de la puissance asservissante du péché ; il accomplira cela par la mort de son serviteur.</w:t>
      </w:r>
    </w:p>
    <w:p>
      <w:r/>
      <w:hyperlink r:id="rId31">
        <w:r>
          <w:rPr>
            <w:color w:val="0000EE"/>
            <w:u w:val="single"/>
          </w:rPr>
          <w:t>Ésaïe 56–66</w:t>
        </w:r>
      </w:hyperlink>
      <w: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1"/>
      </w:pPr>
      <w:r>
        <w:t>Auteur</w:t>
      </w:r>
    </w:p>
    <w:p>
      <w:r/>
      <w: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hyperlink r:id="rId32">
        <w:r>
          <w:rPr>
            <w:color w:val="0000EE"/>
            <w:u w:val="single"/>
          </w:rPr>
          <w:t>Mt 8.17</w:t>
        </w:r>
      </w:hyperlink>
      <w:r>
        <w:t xml:space="preserve"> ; </w:t>
      </w:r>
      <w:hyperlink r:id="rId33">
        <w:r>
          <w:rPr>
            <w:color w:val="0000EE"/>
            <w:u w:val="single"/>
          </w:rPr>
          <w:t>12.17–21</w:t>
        </w:r>
      </w:hyperlink>
      <w:r>
        <w:t xml:space="preserve"> ; </w:t>
      </w:r>
      <w:hyperlink r:id="rId34">
        <w:r>
          <w:rPr>
            <w:color w:val="0000EE"/>
            <w:u w:val="single"/>
          </w:rPr>
          <w:t>Lc 3.4–6</w:t>
        </w:r>
      </w:hyperlink>
      <w:r>
        <w:t xml:space="preserve"> ; </w:t>
      </w:r>
      <w:hyperlink r:id="rId35">
        <w:r>
          <w:rPr>
            <w:color w:val="0000EE"/>
            <w:u w:val="single"/>
          </w:rPr>
          <w:t>Ac 8.28–35</w:t>
        </w:r>
      </w:hyperlink>
      <w:r>
        <w:t xml:space="preserve"> ; </w:t>
      </w:r>
      <w:hyperlink r:id="rId36">
        <w:r>
          <w:rPr>
            <w:color w:val="0000EE"/>
            <w:u w:val="single"/>
          </w:rPr>
          <w:t>Rm 10.16</w:t>
        </w:r>
      </w:hyperlink>
      <w:r>
        <w:t>).</w:t>
      </w:r>
    </w:p>
    <w:p>
      <w:pPr>
        <w:pStyle w:val="Heading1"/>
      </w:pPr>
      <w:r>
        <w:t>Date</w:t>
      </w:r>
    </w:p>
    <w:p>
      <w:r/>
      <w:r>
        <w:t xml:space="preserve">Il est vraisemblable, d'après les références historiques des </w:t>
      </w:r>
      <w:hyperlink r:id="rId37">
        <w:r>
          <w:rPr>
            <w:color w:val="0000EE"/>
            <w:u w:val="single"/>
          </w:rPr>
          <w:t>chapitres 6–39</w:t>
        </w:r>
      </w:hyperlink>
      <w: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hyperlink r:id="rId38">
        <w:r>
          <w:rPr>
            <w:color w:val="0000EE"/>
            <w:u w:val="single"/>
          </w:rPr>
          <w:t>chapitres 40–66</w:t>
        </w:r>
      </w:hyperlink>
      <w: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hyperlink r:id="rId22">
        <w:r>
          <w:rPr>
            <w:color w:val="0000EE"/>
            <w:u w:val="single"/>
          </w:rPr>
          <w:t>chapitres 1–39</w:t>
        </w:r>
      </w:hyperlink>
      <w:r>
        <w:t xml:space="preserve"> et celle des </w:t>
      </w:r>
      <w:hyperlink r:id="rId38">
        <w:r>
          <w:rPr>
            <w:color w:val="0000EE"/>
            <w:u w:val="single"/>
          </w:rPr>
          <w:t>chapitres 40–66</w:t>
        </w:r>
      </w:hyperlink>
      <w:r>
        <w:t>.</w:t>
      </w:r>
    </w:p>
    <w:p>
      <w:pPr>
        <w:pStyle w:val="Heading1"/>
      </w:pPr>
      <w:r>
        <w:t>Genres littéraires</w:t>
      </w:r>
    </w:p>
    <w:p>
      <w:r/>
      <w:r>
        <w:t>Ésaïe comporte un riche éventail de sous-genres :</w:t>
      </w:r>
    </w:p>
    <w:p>
      <w:pPr>
        <w:pStyle w:val="ListBullet"/>
        <w:spacing w:line="240" w:lineRule="auto"/>
        <w:ind w:left="720"/>
      </w:pPr>
      <w:r/>
      <w:r>
        <w:t>des discours de jugement avertissant Israël que Dieu le punira pour ses péchés (</w:t>
      </w:r>
      <w:hyperlink r:id="rId39">
        <w:r>
          <w:rPr>
            <w:color w:val="0000EE"/>
            <w:u w:val="single"/>
          </w:rPr>
          <w:t>9.8–21</w:t>
        </w:r>
      </w:hyperlink>
      <w:r>
        <w:t>) ;</w:t>
      </w:r>
    </w:p>
    <w:p>
      <w:pPr>
        <w:pStyle w:val="ListBullet"/>
        <w:spacing w:line="240" w:lineRule="auto"/>
        <w:ind w:left="720"/>
      </w:pPr>
      <w:r/>
      <w:r>
        <w:t>des prophéties de malheur déplorant la mort imminente de la nation (</w:t>
      </w:r>
      <w:hyperlink r:id="rId40">
        <w:r>
          <w:rPr>
            <w:color w:val="0000EE"/>
            <w:u w:val="single"/>
          </w:rPr>
          <w:t>5.8–30</w:t>
        </w:r>
      </w:hyperlink>
      <w:r>
        <w:t xml:space="preserve"> ; </w:t>
      </w:r>
      <w:hyperlink r:id="rId41">
        <w:r>
          <w:rPr>
            <w:color w:val="0000EE"/>
            <w:u w:val="single"/>
          </w:rPr>
          <w:t>29.1–12</w:t>
        </w:r>
      </w:hyperlink>
      <w:r>
        <w:t xml:space="preserve"> ; </w:t>
      </w:r>
      <w:hyperlink r:id="rId42">
        <w:r>
          <w:rPr>
            <w:color w:val="0000EE"/>
            <w:u w:val="single"/>
          </w:rPr>
          <w:t>31.1–9</w:t>
        </w:r>
      </w:hyperlink>
      <w:r>
        <w:t>) ;</w:t>
      </w:r>
    </w:p>
    <w:p>
      <w:pPr>
        <w:pStyle w:val="ListBullet"/>
        <w:spacing w:line="240" w:lineRule="auto"/>
        <w:ind w:left="720"/>
      </w:pPr>
      <w:r/>
      <w:r>
        <w:t>des paraboles qui enseignent par analogie (</w:t>
      </w:r>
      <w:hyperlink r:id="rId43">
        <w:r>
          <w:rPr>
            <w:color w:val="0000EE"/>
            <w:u w:val="single"/>
          </w:rPr>
          <w:t>5.1–8</w:t>
        </w:r>
      </w:hyperlink>
      <w:r>
        <w:t xml:space="preserve"> ; </w:t>
      </w:r>
      <w:hyperlink r:id="rId44">
        <w:r>
          <w:rPr>
            <w:color w:val="0000EE"/>
            <w:u w:val="single"/>
          </w:rPr>
          <w:t>27.2–6</w:t>
        </w:r>
      </w:hyperlink>
      <w:r>
        <w:t>) ;</w:t>
      </w:r>
    </w:p>
    <w:p>
      <w:pPr>
        <w:pStyle w:val="ListBullet"/>
        <w:spacing w:line="240" w:lineRule="auto"/>
        <w:ind w:left="720"/>
      </w:pPr>
      <w:r/>
      <w:r>
        <w:t>des discours de procès pour prouver la culpabilité (</w:t>
      </w:r>
      <w:hyperlink r:id="rId45">
        <w:r>
          <w:rPr>
            <w:color w:val="0000EE"/>
            <w:u w:val="single"/>
          </w:rPr>
          <w:t>41.21–29</w:t>
        </w:r>
      </w:hyperlink>
      <w:r>
        <w:t>) ;</w:t>
      </w:r>
    </w:p>
    <w:p>
      <w:pPr>
        <w:pStyle w:val="ListBullet"/>
        <w:spacing w:line="240" w:lineRule="auto"/>
        <w:ind w:left="720"/>
      </w:pPr>
      <w:r/>
      <w:r>
        <w:t>des prophéties de salut porteuses d'espoir pour l'avenir (</w:t>
      </w:r>
      <w:hyperlink r:id="rId46">
        <w:r>
          <w:rPr>
            <w:color w:val="0000EE"/>
            <w:u w:val="single"/>
          </w:rPr>
          <w:t>2.1–5</w:t>
        </w:r>
      </w:hyperlink>
      <w:r>
        <w:t xml:space="preserve"> ; </w:t>
      </w:r>
      <w:hyperlink r:id="rId47">
        <w:r>
          <w:rPr>
            <w:color w:val="0000EE"/>
            <w:u w:val="single"/>
          </w:rPr>
          <w:t>32.1–20</w:t>
        </w:r>
      </w:hyperlink>
      <w:r>
        <w:t xml:space="preserve"> ; </w:t>
      </w:r>
      <w:hyperlink r:id="rId48">
        <w:r>
          <w:rPr>
            <w:color w:val="0000EE"/>
            <w:u w:val="single"/>
          </w:rPr>
          <w:t>60.1–22</w:t>
        </w:r>
      </w:hyperlink>
      <w:r>
        <w:t>) ;</w:t>
      </w:r>
    </w:p>
    <w:p>
      <w:pPr>
        <w:pStyle w:val="ListBullet"/>
        <w:spacing w:line="240" w:lineRule="auto"/>
        <w:ind w:left="720"/>
      </w:pPr>
      <w:r/>
      <w:r>
        <w:t>des hymnes de louange à Dieu pour sa fidélité (</w:t>
      </w:r>
      <w:hyperlink r:id="rId49">
        <w:r>
          <w:rPr>
            <w:color w:val="0000EE"/>
            <w:u w:val="single"/>
          </w:rPr>
          <w:t>12.1–6</w:t>
        </w:r>
      </w:hyperlink>
      <w:r>
        <w:t xml:space="preserve"> ; </w:t>
      </w:r>
      <w:hyperlink r:id="rId50">
        <w:r>
          <w:rPr>
            <w:color w:val="0000EE"/>
            <w:u w:val="single"/>
          </w:rPr>
          <w:t>26.1–6</w:t>
        </w:r>
      </w:hyperlink>
      <w:r>
        <w:t>) ;</w:t>
      </w:r>
    </w:p>
    <w:p>
      <w:pPr>
        <w:pStyle w:val="ListBullet"/>
        <w:spacing w:line="240" w:lineRule="auto"/>
        <w:ind w:left="720"/>
      </w:pPr>
      <w:r/>
      <w:r>
        <w:t>des prophéties contre les nations étrangères (</w:t>
      </w:r>
      <w:hyperlink r:id="rId51">
        <w:r>
          <w:rPr>
            <w:color w:val="0000EE"/>
            <w:u w:val="single"/>
          </w:rPr>
          <w:t>15.1–16.14</w:t>
        </w:r>
      </w:hyperlink>
      <w:r>
        <w:t xml:space="preserve"> ; </w:t>
      </w:r>
      <w:hyperlink r:id="rId52">
        <w:r>
          <w:rPr>
            <w:color w:val="0000EE"/>
            <w:u w:val="single"/>
          </w:rPr>
          <w:t>23.1–18</w:t>
        </w:r>
      </w:hyperlink>
      <w:r>
        <w:t>) ;</w:t>
      </w:r>
    </w:p>
    <w:p>
      <w:pPr>
        <w:pStyle w:val="ListBullet"/>
        <w:spacing w:line="240" w:lineRule="auto"/>
        <w:ind w:left="720"/>
      </w:pPr>
      <w:r/>
      <w:r>
        <w:t>des prophéties d'un roi à venir, le Messie (</w:t>
      </w:r>
      <w:hyperlink r:id="rId53">
        <w:r>
          <w:rPr>
            <w:color w:val="0000EE"/>
            <w:u w:val="single"/>
          </w:rPr>
          <w:t>9.1–7</w:t>
        </w:r>
      </w:hyperlink>
      <w:r>
        <w:t xml:space="preserve"> ; </w:t>
      </w:r>
      <w:hyperlink r:id="rId54">
        <w:r>
          <w:rPr>
            <w:color w:val="0000EE"/>
            <w:u w:val="single"/>
          </w:rPr>
          <w:t>11.1–9</w:t>
        </w:r>
      </w:hyperlink>
      <w:r>
        <w:t>) ;</w:t>
      </w:r>
    </w:p>
    <w:p>
      <w:pPr>
        <w:pStyle w:val="ListBullet"/>
        <w:spacing w:line="240" w:lineRule="auto"/>
        <w:ind w:left="720"/>
      </w:pPr>
      <w:r/>
      <w:r>
        <w:t>des chants concernant le serviteur, quelqu'un qui souffrirait pour les péchés des autres (</w:t>
      </w:r>
      <w:hyperlink r:id="rId55">
        <w:r>
          <w:rPr>
            <w:color w:val="0000EE"/>
            <w:u w:val="single"/>
          </w:rPr>
          <w:t>42.1–9</w:t>
        </w:r>
      </w:hyperlink>
      <w:r>
        <w:t xml:space="preserve"> ; </w:t>
      </w:r>
      <w:hyperlink r:id="rId56">
        <w:r>
          <w:rPr>
            <w:color w:val="0000EE"/>
            <w:u w:val="single"/>
          </w:rPr>
          <w:t>52.13–53.12</w:t>
        </w:r>
      </w:hyperlink>
      <w:r>
        <w:t>) ;</w:t>
      </w:r>
    </w:p>
    <w:p>
      <w:pPr>
        <w:pStyle w:val="ListBullet"/>
        <w:spacing w:line="240" w:lineRule="auto"/>
        <w:ind w:left="720"/>
      </w:pPr>
      <w:r/>
      <w:r>
        <w:t>des récits d'événements contemporains (</w:t>
      </w:r>
      <w:hyperlink r:id="rId57">
        <w:r>
          <w:rPr>
            <w:color w:val="0000EE"/>
            <w:u w:val="single"/>
          </w:rPr>
          <w:t>36.1–22</w:t>
        </w:r>
      </w:hyperlink>
      <w:r>
        <w:t xml:space="preserve"> ; </w:t>
      </w:r>
      <w:hyperlink r:id="rId27">
        <w:r>
          <w:rPr>
            <w:color w:val="0000EE"/>
            <w:u w:val="single"/>
          </w:rPr>
          <w:t>39.1–8</w:t>
        </w:r>
      </w:hyperlink>
      <w:r>
        <w:t>).</w:t>
      </w:r>
    </w:p>
    <w:p>
      <w:pPr>
        <w:pStyle w:val="Heading1"/>
      </w:pPr>
      <w:r>
        <w:t>Signification et message</w:t>
      </w:r>
    </w:p>
    <w:p>
      <w:r/>
      <w:r>
        <w:t xml:space="preserve">Le livre d'Ésaïe pourrait être qualifié de « Bible miniature ». Il a plus d'accents du Nouveau Testament que tout autre livre de l'Ancien. Ésaïe nous donne une image de Dieu comme unique et </w:t>
      </w:r>
      <w:r>
        <w:rPr>
          <w:i/>
        </w:rPr>
        <w:t>transcendant</w:t>
      </w:r>
      <w:r>
        <w:t xml:space="preserve"> (au-delà de notre expérience). Pourtant, ce Dieu saint et exalté se révèle et désire être </w:t>
      </w:r>
      <w:r>
        <w:rPr>
          <w:i/>
        </w:rPr>
        <w:t>Emmanuel</w:t>
      </w:r>
      <w:r>
        <w:t xml:space="preserve"> (« Dieu est avec nous », </w:t>
      </w:r>
      <w:hyperlink r:id="rId58">
        <w:r>
          <w:rPr>
            <w:color w:val="0000EE"/>
            <w:u w:val="single"/>
          </w:rPr>
          <w:t>7.14</w:t>
        </w:r>
      </w:hyperlink>
      <w:r>
        <w:t xml:space="preserve">). C'est pourquoi le Dieu transcendant est également </w:t>
      </w:r>
      <w:r>
        <w:rPr>
          <w:i/>
        </w:rPr>
        <w:t>immanent</w:t>
      </w:r>
      <w:r>
        <w:t xml:space="preserve"> (à proximité). Cette proximité de Dieu prépare les lecteurs d'Ésaïe à recevoir Dieu </w:t>
      </w:r>
      <w:r>
        <w:rPr>
          <w:i/>
        </w:rPr>
        <w:t>incarné</w:t>
      </w:r>
      <w:r>
        <w:t xml:space="preserve"> (dans la chair), Jésus-Christ, qui est vraiment l'Emmanuel (voir </w:t>
      </w:r>
      <w:hyperlink r:id="rId59">
        <w:r>
          <w:rPr>
            <w:color w:val="0000EE"/>
            <w:u w:val="single"/>
          </w:rPr>
          <w:t>Mt 1.21–23</w:t>
        </w:r>
      </w:hyperlink>
      <w:r>
        <w:t>).</w:t>
      </w:r>
    </w:p>
    <w:p>
      <w:r/>
      <w: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r/>
      <w: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r/>
      <w: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