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w:t>
      </w:r>
      <w:r/>
    </w:p>
    <w:p>
      <w:r/>
      <w: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1"/>
      </w:pPr>
      <w:r>
        <w:t>Contexte</w:t>
      </w:r>
    </w:p>
    <w:p>
      <w:r/>
      <w:r>
        <w:t xml:space="preserve">Jonas était un prophète dans le royaume du nord d’Israël pendant le règne politiquement prospère mais spirituellement sombre de Jéroboam II (793–753 av. J.‑C.). Malgré les échecs spirituels de Jéroboam (voir </w:t>
      </w:r>
      <w:hyperlink r:id="rId15">
        <w:r>
          <w:rPr>
            <w:color w:val="0000EE"/>
            <w:u w:val="single"/>
          </w:rPr>
          <w:t>2R 14.23–24</w:t>
        </w:r>
      </w:hyperlink>
      <w:r>
        <w:t>), son territoire a continué de s’étendre, comme Jonas l’avait prédit (</w:t>
      </w:r>
      <w:hyperlink r:id="rId16">
        <w:r>
          <w:rPr>
            <w:color w:val="0000EE"/>
            <w:u w:val="single"/>
          </w:rPr>
          <w:t>2R 14.25</w:t>
        </w:r>
      </w:hyperlink>
      <w:r>
        <w:t xml:space="preserve">), retrouvant approximativement sa taille de l’époque glorieuse de David et Salomon (voir </w:t>
      </w:r>
      <w:hyperlink r:id="rId17">
        <w:r>
          <w:rPr>
            <w:color w:val="0000EE"/>
            <w:u w:val="single"/>
          </w:rPr>
          <w:t>1R 8.65</w:t>
        </w:r>
      </w:hyperlink>
      <w:r>
        <w:t>). Le nationalisme était très fort à l’époque de Jonas.</w:t>
      </w:r>
    </w:p>
    <w:p>
      <w:r/>
      <w: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8">
        <w:r>
          <w:rPr>
            <w:color w:val="0000EE"/>
            <w:u w:val="single"/>
          </w:rPr>
          <w:t>1R 17.1–22.53</w:t>
        </w:r>
      </w:hyperlink>
      <w: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r/>
      <w: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1"/>
      </w:pPr>
      <w:r>
        <w:t>Résumé</w:t>
      </w:r>
    </w:p>
    <w:p>
      <w:r/>
      <w:r>
        <w:t xml:space="preserve">Le livre de Jonas se divise naturellement en deux parties. </w:t>
      </w:r>
      <w:hyperlink r:id="rId19">
        <w:r>
          <w:rPr>
            <w:color w:val="0000EE"/>
            <w:u w:val="single"/>
          </w:rPr>
          <w:t>Les chapitres 1–2</w:t>
        </w:r>
      </w:hyperlink>
      <w:r>
        <w:t xml:space="preserve"> </w:t>
      </w:r>
      <w:r>
        <w:t>relatent le rejet initial par Jonas de l'ordre du Seigneur d'avertir Ninive du jugement qu'elle encourait en raison de sa méchanceté.</w:t>
      </w:r>
      <w:r>
        <w:t xml:space="preserve"> Au lieu d’aller vers Ninive, Jonas part en bateau dans la direction opposée (</w:t>
      </w:r>
      <w:hyperlink r:id="rId20">
        <w:r>
          <w:rPr>
            <w:color w:val="0000EE"/>
            <w:u w:val="single"/>
          </w:rPr>
          <w:t>1.3</w:t>
        </w:r>
      </w:hyperlink>
      <w: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21">
        <w:r>
          <w:rPr>
            <w:color w:val="0000EE"/>
            <w:u w:val="single"/>
          </w:rPr>
          <w:t>ch 2</w:t>
        </w:r>
      </w:hyperlink>
      <w:r>
        <w:t>). Après trois jours et trois nuits, le poisson recrache Jonas sur la terre ferme.</w:t>
      </w:r>
    </w:p>
    <w:p>
      <w:r/>
      <w:r>
        <w:t xml:space="preserve">Dans </w:t>
      </w:r>
      <w:hyperlink r:id="rId22">
        <w:r>
          <w:rPr>
            <w:color w:val="0000EE"/>
            <w:u w:val="single"/>
          </w:rPr>
          <w:t>les chapitres 3–4</w:t>
        </w:r>
      </w:hyperlink>
      <w:r>
        <w:t>, Dieu redemande au prophète de prêcher à Ninive, et cette fois, Jonas obéit. Ninive se repent massivement après avoir entendu les avertissements de Jonas (</w:t>
      </w:r>
      <w:hyperlink r:id="rId23">
        <w:r>
          <w:rPr>
            <w:color w:val="0000EE"/>
            <w:u w:val="single"/>
          </w:rPr>
          <w:t>ch 3</w:t>
        </w:r>
      </w:hyperlink>
      <w:r>
        <w:t>), et Dieu s’abstient d’exécuter le jugement que Jonas avait annoncé (</w:t>
      </w:r>
      <w:hyperlink r:id="rId24">
        <w:r>
          <w:rPr>
            <w:color w:val="0000EE"/>
            <w:u w:val="single"/>
          </w:rPr>
          <w:t>3.10</w:t>
        </w:r>
      </w:hyperlink>
      <w:r>
        <w:t>). Ironiquement, Jonas ne peut accepter l’effusion de miséricorde de Dieu envers les ennemis d’Israël. Jonas passe de la colère au désespoir (</w:t>
      </w:r>
      <w:hyperlink r:id="rId25">
        <w:r>
          <w:rPr>
            <w:color w:val="0000EE"/>
            <w:u w:val="single"/>
          </w:rPr>
          <w:t>ch 4</w:t>
        </w:r>
      </w:hyperlink>
      <w: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1"/>
      </w:pPr>
      <w:r>
        <w:t>Auteur</w:t>
      </w:r>
    </w:p>
    <w:p>
      <w:r/>
      <w:r>
        <w:t>Le livre de Jonas n’identifie pas son auteur ; il doit son titre au nom du personnage principal. Jonas ou l’un de ses proches a peut-être écrit le livre.</w:t>
      </w:r>
    </w:p>
    <w:p>
      <w:pPr>
        <w:pStyle w:val="Heading1"/>
      </w:pPr>
      <w:r>
        <w:t>Récit</w:t>
      </w:r>
    </w:p>
    <w:p>
      <w:r/>
      <w:r>
        <w:t>Contrairement à d'autres livres prophétiques, Jonas est presque entièrement un récit plutôt qu'un recueil de messages prophétiques.</w:t>
      </w:r>
      <w:r>
        <w:t xml:space="preserve"> Mais est-ce un récit </w:t>
      </w:r>
      <w:r>
        <w:rPr>
          <w:i/>
        </w:rPr>
        <w:t>historique</w:t>
      </w:r>
      <w: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6">
        <w:r>
          <w:rPr>
            <w:color w:val="0000EE"/>
            <w:u w:val="single"/>
          </w:rPr>
          <w:t>1.1</w:t>
        </w:r>
      </w:hyperlink>
      <w:r>
        <w:t>), et il est considéré comme un récit historique avec un message théologique.</w:t>
      </w:r>
    </w:p>
    <w:p>
      <w:pPr>
        <w:pStyle w:val="Heading1"/>
      </w:pPr>
      <w:r>
        <w:t>Signification et message</w:t>
      </w:r>
    </w:p>
    <w:p>
      <w:r/>
      <w: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7">
        <w:r>
          <w:rPr>
            <w:color w:val="0000EE"/>
            <w:u w:val="single"/>
          </w:rPr>
          <w:t>2.9</w:t>
        </w:r>
      </w:hyperlink>
      <w:r>
        <w:t xml:space="preserve">, littéralement </w:t>
      </w:r>
      <w:r>
        <w:rPr>
          <w:i/>
        </w:rPr>
        <w:t>le salut vient de l’Éternel</w:t>
      </w:r>
      <w:r>
        <w:t xml:space="preserve">). Le salut est accordé par le Seigneur à qui il veut, et ceux qui ont reçu sa miséricorde ne doivent pas essayer de restreindre le flux de la miséricorde de Dieu envers les autres, même leurs ennemis (voir </w:t>
      </w:r>
      <w:hyperlink r:id="rId25">
        <w:r>
          <w:rPr>
            <w:color w:val="0000EE"/>
            <w:u w:val="single"/>
          </w:rPr>
          <w:t>ch 4</w:t>
        </w:r>
      </w:hyperlink>
      <w:r>
        <w:t>).</w:t>
      </w:r>
    </w:p>
    <w:p>
      <w:r/>
      <w: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8">
        <w:r>
          <w:rPr>
            <w:color w:val="0000EE"/>
            <w:u w:val="single"/>
          </w:rPr>
          <w:t>3.4</w:t>
        </w:r>
      </w:hyperlink>
      <w:r>
        <w:t xml:space="preserve">, </w:t>
      </w:r>
      <w:hyperlink r:id="rId29">
        <w:r>
          <w:rPr>
            <w:color w:val="0000EE"/>
            <w:u w:val="single"/>
          </w:rPr>
          <w:t>9</w:t>
        </w:r>
      </w:hyperlink>
      <w:r>
        <w:t>) ou sauver du jugement (</w:t>
      </w:r>
      <w:hyperlink r:id="rId24">
        <w:r>
          <w:rPr>
            <w:color w:val="0000EE"/>
            <w:u w:val="single"/>
          </w:rPr>
          <w:t>3.10</w:t>
        </w:r>
      </w:hyperlink>
      <w:r>
        <w:t xml:space="preserve"> ; voir </w:t>
      </w:r>
      <w:hyperlink r:id="rId30">
        <w:r>
          <w:rPr>
            <w:color w:val="0000EE"/>
            <w:u w:val="single"/>
          </w:rPr>
          <w:t>Jr 18.7–10</w:t>
        </w:r>
      </w:hyperlink>
      <w:r>
        <w:t>).</w:t>
      </w:r>
    </w:p>
    <w:p>
      <w:r/>
      <w: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31">
        <w:r>
          <w:rPr>
            <w:color w:val="0000EE"/>
            <w:u w:val="single"/>
          </w:rPr>
          <w:t>Gn 12.3</w:t>
        </w:r>
      </w:hyperlink>
      <w:r>
        <w:t>). Dieu veut que les nations se détournent des idoles et se tournent vers lui, le Dieu du ciel qui a créé le monde (</w:t>
      </w:r>
      <w:hyperlink r:id="rId32">
        <w:r>
          <w:rPr>
            <w:color w:val="0000EE"/>
            <w:u w:val="single"/>
          </w:rPr>
          <w:t xml:space="preserve">Jon 1.9 </w:t>
        </w:r>
      </w:hyperlink>
      <w:r>
        <w:t xml:space="preserve">; voir </w:t>
      </w:r>
      <w:hyperlink r:id="rId33">
        <w:r>
          <w:rPr>
            <w:color w:val="0000EE"/>
            <w:u w:val="single"/>
          </w:rPr>
          <w:t>2P 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