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Corinthiens</w:t>
      </w:r>
      <w:r/>
    </w:p>
    <w:p>
      <w:r/>
      <w: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1"/>
      </w:pPr>
      <w:r>
        <w:t>Contexte</w:t>
      </w:r>
    </w:p>
    <w:p>
      <w:r/>
      <w: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hyperlink r:id="rId15">
        <w:r>
          <w:rPr>
            <w:color w:val="0000EE"/>
            <w:u w:val="single"/>
          </w:rPr>
          <w:t>5.1–13</w:t>
        </w:r>
      </w:hyperlink>
      <w:r>
        <w:t xml:space="preserve"> ; </w:t>
      </w:r>
      <w:hyperlink r:id="rId16">
        <w:r>
          <w:rPr>
            <w:color w:val="0000EE"/>
            <w:u w:val="single"/>
          </w:rPr>
          <w:t>6.12–20</w:t>
        </w:r>
      </w:hyperlink>
      <w:r>
        <w:t>).</w:t>
      </w:r>
    </w:p>
    <w:p>
      <w:r/>
      <w: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hyperlink r:id="rId17">
        <w:r>
          <w:rPr>
            <w:color w:val="0000EE"/>
            <w:u w:val="single"/>
          </w:rPr>
          <w:t>1.10–12</w:t>
        </w:r>
      </w:hyperlink>
      <w:r>
        <w:t xml:space="preserve"> ; </w:t>
      </w:r>
      <w:hyperlink r:id="rId18">
        <w:r>
          <w:rPr>
            <w:color w:val="0000EE"/>
            <w:u w:val="single"/>
          </w:rPr>
          <w:t>3.1–4</w:t>
        </w:r>
      </w:hyperlink>
      <w:r>
        <w:t>).</w:t>
      </w:r>
    </w:p>
    <w:p>
      <w:r/>
      <w: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hyperlink r:id="rId19">
        <w:r>
          <w:rPr>
            <w:color w:val="0000EE"/>
            <w:u w:val="single"/>
          </w:rPr>
          <w:t>Ac 18.1–17</w:t>
        </w:r>
      </w:hyperlink>
      <w: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r/>
      <w: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1"/>
      </w:pPr>
      <w:r>
        <w:t>Résumé</w:t>
      </w:r>
    </w:p>
    <w:p>
      <w:r/>
      <w: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
        <w:t>Une critique de son approche non intellectuelle en matière d'évangélisation (</w:t>
      </w:r>
      <w:hyperlink r:id="rId20">
        <w:r>
          <w:rPr>
            <w:color w:val="0000EE"/>
            <w:u w:val="single"/>
          </w:rPr>
          <w:t>1.1–4.21</w:t>
        </w:r>
      </w:hyperlink>
      <w:r>
        <w:t>)</w:t>
      </w:r>
    </w:p>
    <w:p>
      <w:pPr>
        <w:pStyle w:val="ListBullet"/>
        <w:spacing w:line="240" w:lineRule="auto"/>
        <w:ind w:left="720"/>
      </w:pPr>
      <w:r/>
      <w:r>
        <w:t>Un cas flagrant d'immoralité sexuelle dans l'église (</w:t>
      </w:r>
      <w:hyperlink r:id="rId15">
        <w:r>
          <w:rPr>
            <w:color w:val="0000EE"/>
            <w:u w:val="single"/>
          </w:rPr>
          <w:t>5.1–13</w:t>
        </w:r>
      </w:hyperlink>
      <w:r>
        <w:t>)</w:t>
      </w:r>
    </w:p>
    <w:p>
      <w:pPr>
        <w:pStyle w:val="ListBullet"/>
        <w:spacing w:line="240" w:lineRule="auto"/>
        <w:ind w:left="720"/>
      </w:pPr>
      <w:r/>
      <w:r>
        <w:t>La pratique de traduire en justice des frères et sœurs en Christ devant des juges païens (</w:t>
      </w:r>
      <w:hyperlink r:id="rId21">
        <w:r>
          <w:rPr>
            <w:color w:val="0000EE"/>
            <w:u w:val="single"/>
          </w:rPr>
          <w:t>6.1–20</w:t>
        </w:r>
      </w:hyperlink>
      <w:r>
        <w:t>)</w:t>
      </w:r>
    </w:p>
    <w:p>
      <w:pPr>
        <w:pStyle w:val="ListBullet"/>
        <w:spacing w:line="240" w:lineRule="auto"/>
        <w:ind w:left="720"/>
      </w:pPr>
      <w:r/>
      <w:r>
        <w:t>Des problèmes d'immoralité sexuelle (</w:t>
      </w:r>
      <w:hyperlink r:id="rId21">
        <w:r>
          <w:rPr>
            <w:color w:val="0000EE"/>
            <w:u w:val="single"/>
          </w:rPr>
          <w:t>6.1–20</w:t>
        </w:r>
      </w:hyperlink>
      <w:r>
        <w:t>)</w:t>
      </w:r>
    </w:p>
    <w:p>
      <w:pPr>
        <w:pStyle w:val="ListBullet"/>
        <w:spacing w:line="240" w:lineRule="auto"/>
        <w:ind w:left="720"/>
      </w:pPr>
      <w:r/>
      <w:r>
        <w:t>Des questions sur le mariage, le divorce et le célibat (</w:t>
      </w:r>
      <w:hyperlink r:id="rId22">
        <w:r>
          <w:rPr>
            <w:color w:val="0000EE"/>
            <w:u w:val="single"/>
          </w:rPr>
          <w:t>7.1–40</w:t>
        </w:r>
      </w:hyperlink>
      <w:r>
        <w:t>)</w:t>
      </w:r>
    </w:p>
    <w:p>
      <w:pPr>
        <w:pStyle w:val="ListBullet"/>
        <w:spacing w:line="240" w:lineRule="auto"/>
        <w:ind w:left="720"/>
      </w:pPr>
      <w:r/>
      <w:r>
        <w:t>La question de savoir si les croyants sont autorisés à manger de la viande sacrifiée aux idoles païennes (</w:t>
      </w:r>
      <w:hyperlink r:id="rId23">
        <w:r>
          <w:rPr>
            <w:color w:val="0000EE"/>
            <w:u w:val="single"/>
          </w:rPr>
          <w:t>8.1–10.33</w:t>
        </w:r>
      </w:hyperlink>
      <w:r>
        <w:t>)</w:t>
      </w:r>
    </w:p>
    <w:p>
      <w:pPr>
        <w:pStyle w:val="ListBullet"/>
        <w:spacing w:line="240" w:lineRule="auto"/>
        <w:ind w:left="720"/>
      </w:pPr>
      <w:r/>
      <w:r>
        <w:t>La question de la tenue vestimentaire appropriée pour les femmes qui exercent un ministère en public (</w:t>
      </w:r>
      <w:hyperlink r:id="rId24">
        <w:r>
          <w:rPr>
            <w:color w:val="0000EE"/>
            <w:u w:val="single"/>
          </w:rPr>
          <w:t>11.1–34</w:t>
        </w:r>
      </w:hyperlink>
      <w:r>
        <w:t>)</w:t>
      </w:r>
    </w:p>
    <w:p>
      <w:pPr>
        <w:pStyle w:val="ListBullet"/>
        <w:spacing w:line="240" w:lineRule="auto"/>
        <w:ind w:left="720"/>
      </w:pPr>
      <w:r/>
      <w:r>
        <w:t>Des comportements irrévérencieux et irrespectueux lors de la célébration de la sainte Cène (</w:t>
      </w:r>
      <w:hyperlink r:id="rId24">
        <w:r>
          <w:rPr>
            <w:color w:val="0000EE"/>
            <w:u w:val="single"/>
          </w:rPr>
          <w:t>11.1–34</w:t>
        </w:r>
      </w:hyperlink>
      <w:r>
        <w:t>)</w:t>
      </w:r>
    </w:p>
    <w:p>
      <w:pPr>
        <w:pStyle w:val="ListBullet"/>
        <w:spacing w:line="240" w:lineRule="auto"/>
        <w:ind w:left="720"/>
      </w:pPr>
      <w:r/>
      <w:r>
        <w:t>Des perspectives déformées sur les dons spirituels et leur usage (</w:t>
      </w:r>
      <w:hyperlink r:id="rId25">
        <w:r>
          <w:rPr>
            <w:color w:val="0000EE"/>
            <w:u w:val="single"/>
          </w:rPr>
          <w:t>12.1–14.40</w:t>
        </w:r>
      </w:hyperlink>
      <w:r>
        <w:t>)</w:t>
      </w:r>
    </w:p>
    <w:p>
      <w:pPr>
        <w:pStyle w:val="ListBullet"/>
        <w:spacing w:line="240" w:lineRule="auto"/>
        <w:ind w:left="720"/>
      </w:pPr>
      <w:r/>
      <w:r>
        <w:t>Le scepticisme quant à une future résurrection des morts (</w:t>
      </w:r>
      <w:hyperlink r:id="rId26">
        <w:r>
          <w:rPr>
            <w:color w:val="0000EE"/>
            <w:u w:val="single"/>
          </w:rPr>
          <w:t>15.1–58</w:t>
        </w:r>
      </w:hyperlink>
      <w:r>
        <w:t>)</w:t>
      </w:r>
    </w:p>
    <w:p>
      <w:pPr>
        <w:pStyle w:val="Heading1"/>
      </w:pPr>
      <w:r>
        <w:t>Auteur</w:t>
      </w:r>
    </w:p>
    <w:p>
      <w:r/>
      <w:r>
        <w:t xml:space="preserve">Paul est largement reconnu comme l'auteur de la première épître aux Corinthiens. Cependant, certains remettent en question l'authenticité de </w:t>
      </w:r>
      <w:hyperlink r:id="rId27">
        <w:r>
          <w:rPr>
            <w:color w:val="0000EE"/>
            <w:u w:val="single"/>
          </w:rPr>
          <w:t>14.34–35</w:t>
        </w:r>
      </w:hyperlink>
      <w:r>
        <w:t xml:space="preserve"> (voir la note d'étude à cet endroit). Conformément à l'usage de l'époque, Paul s'est servir d'un amanuensis (secrétaire) pour l'écriture de la lettre (voir </w:t>
      </w:r>
      <w:hyperlink r:id="rId28">
        <w:r>
          <w:rPr>
            <w:color w:val="0000EE"/>
            <w:u w:val="single"/>
          </w:rPr>
          <w:t>16.21</w:t>
        </w:r>
      </w:hyperlink>
      <w:r>
        <w:t>).</w:t>
      </w:r>
    </w:p>
    <w:p>
      <w:pPr>
        <w:pStyle w:val="Heading1"/>
      </w:pPr>
      <w:r>
        <w:t>Date et raison de la rédaction</w:t>
      </w:r>
    </w:p>
    <w:p>
      <w:r/>
      <w:r>
        <w:t xml:space="preserve">Cette lettre à l'église de Corinthe a été écrite lors du troisième voyage missionnaire de Paul, durant son séjour de deux ou trois ans à Éphèse (vers 53–56 après J.‑C. ; voir </w:t>
      </w:r>
      <w:hyperlink r:id="rId29">
        <w:r>
          <w:rPr>
            <w:color w:val="0000EE"/>
            <w:u w:val="single"/>
          </w:rPr>
          <w:t>Ac 19.1–41</w:t>
        </w:r>
      </w:hyperlink>
      <w:r>
        <w:t xml:space="preserve">). Paul avait déjà écrit une lettre à l'église de Corinthe (voir </w:t>
      </w:r>
      <w:hyperlink r:id="rId30">
        <w:r>
          <w:rPr>
            <w:color w:val="0000EE"/>
            <w:u w:val="single"/>
          </w:rPr>
          <w:t>1Co 5.9</w:t>
        </w:r>
      </w:hyperlink>
      <w:r>
        <w:t xml:space="preserve">), et les Corinthiens avaient répondu, demandant son avis sur plusieurs points (voir, par exemple, </w:t>
      </w:r>
      <w:hyperlink r:id="rId31">
        <w:r>
          <w:rPr>
            <w:color w:val="0000EE"/>
            <w:u w:val="single"/>
          </w:rPr>
          <w:t>7.1</w:t>
        </w:r>
      </w:hyperlink>
      <w:r>
        <w:t xml:space="preserve">). Il avait également reçu des rapports et des visiteurs de Corinthe (voir </w:t>
      </w:r>
      <w:hyperlink r:id="rId32">
        <w:r>
          <w:rPr>
            <w:color w:val="0000EE"/>
            <w:u w:val="single"/>
          </w:rPr>
          <w:t>1.11</w:t>
        </w:r>
      </w:hyperlink>
      <w:r>
        <w:t xml:space="preserve"> ; </w:t>
      </w:r>
      <w:hyperlink r:id="rId33">
        <w:r>
          <w:rPr>
            <w:color w:val="0000EE"/>
            <w:u w:val="single"/>
          </w:rPr>
          <w:t>16.15–17</w:t>
        </w:r>
      </w:hyperlink>
      <w: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hyperlink r:id="rId33">
        <w:r>
          <w:rPr>
            <w:color w:val="0000EE"/>
            <w:u w:val="single"/>
          </w:rPr>
          <w:t>16.15–17</w:t>
        </w:r>
      </w:hyperlink>
      <w:r>
        <w:t>) lorsqu'ils sont retournés à Corinthe.</w:t>
      </w:r>
    </w:p>
    <w:p>
      <w:r/>
      <w: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hyperlink r:id="rId34">
        <w:r>
          <w:rPr>
            <w:color w:val="0000EE"/>
            <w:u w:val="single"/>
          </w:rPr>
          <w:t>2Co 2.1–11</w:t>
        </w:r>
      </w:hyperlink>
      <w:r>
        <w:t xml:space="preserve"> ; </w:t>
      </w:r>
      <w:hyperlink r:id="rId35">
        <w:r>
          <w:rPr>
            <w:color w:val="0000EE"/>
            <w:u w:val="single"/>
          </w:rPr>
          <w:t>7.8–10</w:t>
        </w:r>
      </w:hyperlink>
      <w:r>
        <w:t xml:space="preserve"> ; </w:t>
      </w:r>
      <w:r>
        <w:t>Introduction au Livre des 2 Corinthiens, « Date et Raison de la rédaction »</w:t>
      </w:r>
      <w:r>
        <w:t>).</w:t>
      </w:r>
    </w:p>
    <w:p>
      <w:pPr>
        <w:pStyle w:val="Heading1"/>
      </w:pPr>
      <w:r>
        <w:t>Signification et message</w:t>
      </w:r>
    </w:p>
    <w:p>
      <w:r/>
      <w:r>
        <w:t>1 Corinthiens nous offre un aperçu fascinant de la vie dans l'église primitive. Nous voyons certains des problèmes pratiques auxquels étaient confrontés les premiers chrétiens alors qu'ils vivaient dans un environnement païen, et comment ils les géraient.</w:t>
      </w:r>
    </w:p>
    <w:p>
      <w:r/>
      <w: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r/>
      <w:r>
        <w:t>Ainsi, par exemple, lorsque Paul aborde des questions qui ont trait à la moralité sexuelle (</w:t>
      </w:r>
      <w:hyperlink r:id="rId36">
        <w:r>
          <w:rPr>
            <w:color w:val="0000EE"/>
            <w:u w:val="single"/>
          </w:rPr>
          <w:t>5.1–6.20</w:t>
        </w:r>
      </w:hyperlink>
      <w: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hyperlink r:id="rId37">
        <w:r>
          <w:rPr>
            <w:color w:val="0000EE"/>
            <w:u w:val="single"/>
          </w:rPr>
          <w:t>6.15–20</w:t>
        </w:r>
      </w:hyperlink>
      <w:r>
        <w:t>).</w:t>
      </w:r>
    </w:p>
    <w:p>
      <w:r/>
      <w:r>
        <w:t>Lorsque Paul leur reproche de poursuivre des frères en justice devant les tribunaux païens (</w:t>
      </w:r>
      <w:hyperlink r:id="rId38">
        <w:r>
          <w:rPr>
            <w:color w:val="0000EE"/>
            <w:u w:val="single"/>
          </w:rPr>
          <w:t>6.1–8</w:t>
        </w:r>
      </w:hyperlink>
      <w:r>
        <w:t>), il le fait par souci de leur témoignage auprès des non-croyants. Il les exhorte à renoncer à leurs droits par amour pour les autres, suivant l'exemple du Christ. La mort du Christ leur a montré que l'amour chrétien est sacrificiel.</w:t>
      </w:r>
    </w:p>
    <w:p>
      <w:r/>
      <w:r>
        <w:t>Lorsque Paul donne des conseils sur le mariage (</w:t>
      </w:r>
      <w:hyperlink r:id="rId22">
        <w:r>
          <w:rPr>
            <w:color w:val="0000EE"/>
            <w:u w:val="single"/>
          </w:rPr>
          <w:t>7.1–40</w:t>
        </w:r>
      </w:hyperlink>
      <w:r>
        <w:t>), il encourage ceux qui ne sont pas mariés, dans ce contexte, à rester célibataires afin de se consacrer plus pleinement au service du Christ. Les chrétiens appartiennent au Christ et ne peuvent plus vivre uniquement pour eux-mêmes.</w:t>
      </w:r>
    </w:p>
    <w:p>
      <w:r/>
      <w:r>
        <w:t>Lorsqu'il enseigne que les croyants sont libres de manger de la viande sacrifiée aux idoles païennes (</w:t>
      </w:r>
      <w:hyperlink r:id="rId39">
        <w:r>
          <w:rPr>
            <w:color w:val="0000EE"/>
            <w:u w:val="single"/>
          </w:rPr>
          <w:t>8.1–13</w:t>
        </w:r>
      </w:hyperlink>
      <w:r>
        <w:t xml:space="preserve"> ; </w:t>
      </w:r>
      <w:hyperlink r:id="rId40">
        <w:r>
          <w:rPr>
            <w:color w:val="0000EE"/>
            <w:u w:val="single"/>
          </w:rPr>
          <w:t>10.1–11.1</w:t>
        </w:r>
      </w:hyperlink>
      <w: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r/>
      <w: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hyperlink r:id="rId41">
        <w:r>
          <w:rPr>
            <w:color w:val="0000EE"/>
            <w:u w:val="single"/>
          </w:rPr>
          <w:t>10.31–33</w:t>
        </w:r>
      </w:hyperlink>
      <w:r>
        <w:t>). C'est l'équivalent pour Paul des deux grands commandements d'amour de Jésus (</w:t>
      </w:r>
      <w:hyperlink r:id="rId42">
        <w:r>
          <w:rPr>
            <w:color w:val="0000EE"/>
            <w:u w:val="single"/>
          </w:rPr>
          <w:t>Mt 22.36–40</w:t>
        </w:r>
      </w:hyperlink>
      <w:r>
        <w:t xml:space="preserve"> ; </w:t>
      </w:r>
      <w:hyperlink r:id="rId43">
        <w:r>
          <w:rPr>
            <w:color w:val="0000EE"/>
            <w:u w:val="single"/>
          </w:rPr>
          <w:t>Lc 10.25–37</w:t>
        </w:r>
      </w:hyperlink>
      <w:r>
        <w:t>). Dans cette lettre, nous voyons plus clairement qu'ailleurs comment Paul applique ces principes intemporels à une large gamme de problèmes pratiques.</w:t>
      </w:r>
    </w:p>
    <w:p>
      <w:r/>
      <w:r>
        <w:t>Conception paulinienne de l'évangélisation. Lorsque Paul est critiqué pour son approche peu raffinée et non intellectuelle de l'évangélisation (</w:t>
      </w:r>
      <w:hyperlink r:id="rId20">
        <w:r>
          <w:rPr>
            <w:color w:val="0000EE"/>
            <w:u w:val="single"/>
          </w:rPr>
          <w:t>1Co 1.1–4.21</w:t>
        </w:r>
      </w:hyperlink>
      <w: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r/>
      <w:r>
        <w:t xml:space="preserve">Unité et amour dans l'Église. L'unité parmi les croyants est un thème important tout au long de cette lettre, car plusieurs des problèmes que Paul aborde semblaient diviser l'église (voir </w:t>
      </w:r>
      <w:hyperlink r:id="rId44">
        <w:r>
          <w:rPr>
            <w:color w:val="0000EE"/>
            <w:u w:val="single"/>
          </w:rPr>
          <w:t>1.10–4.21</w:t>
        </w:r>
      </w:hyperlink>
      <w:r>
        <w:t xml:space="preserve">, factions dans l'église ; </w:t>
      </w:r>
      <w:hyperlink r:id="rId45">
        <w:r>
          <w:rPr>
            <w:color w:val="0000EE"/>
            <w:u w:val="single"/>
          </w:rPr>
          <w:t>6.1–12</w:t>
        </w:r>
      </w:hyperlink>
      <w:r>
        <w:t xml:space="preserve">, procès contre d'autres chrétiens ; </w:t>
      </w:r>
      <w:hyperlink r:id="rId46">
        <w:r>
          <w:rPr>
            <w:color w:val="0000EE"/>
            <w:u w:val="single"/>
          </w:rPr>
          <w:t>8.1–11.1</w:t>
        </w:r>
      </w:hyperlink>
      <w:r>
        <w:t xml:space="preserve">, opinions divergentes sur la nourriture sacrifiée aux idoles ; </w:t>
      </w:r>
      <w:hyperlink r:id="rId47">
        <w:r>
          <w:rPr>
            <w:color w:val="0000EE"/>
            <w:u w:val="single"/>
          </w:rPr>
          <w:t>11.2–16</w:t>
        </w:r>
      </w:hyperlink>
      <w:r>
        <w:t xml:space="preserve">, opinions divergentes sur la tenue appropriée pour les femmes qui exercent un ministère public ; </w:t>
      </w:r>
      <w:hyperlink r:id="rId48">
        <w:r>
          <w:rPr>
            <w:color w:val="0000EE"/>
            <w:u w:val="single"/>
          </w:rPr>
          <w:t>11.17–34</w:t>
        </w:r>
      </w:hyperlink>
      <w: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hyperlink r:id="rId49">
        <w:r>
          <w:rPr>
            <w:color w:val="0000EE"/>
            <w:u w:val="single"/>
          </w:rPr>
          <w:t>13</w:t>
        </w:r>
      </w:hyperlink>
      <w:r>
        <w:t>), souligne l'importance d'entretenir avec les autres croyants des relations fondées sur l'amour sacrificiel, le type d'amour manifesté par le Christ lui-même.</w:t>
      </w:r>
    </w:p>
    <w:p>
      <w:r/>
      <w:r>
        <w:t xml:space="preserve">Mariage, divorce et célibat. Paul a une haute estime du mariage et s'oppose fermement au divorce. Compte tenu des circonstances de vie difficiles pour les chrétiens au premier siècle, et convaincu du retour imminent du Christ (voir </w:t>
      </w:r>
      <w:hyperlink r:id="rId50">
        <w:r>
          <w:rPr>
            <w:color w:val="0000EE"/>
            <w:u w:val="single"/>
          </w:rPr>
          <w:t>7.25–31</w:t>
        </w:r>
      </w:hyperlink>
      <w:r>
        <w:t xml:space="preserve">), Paul encourage ceux qui sont célibataires à le rester, voyant le célibat comme une occasion de se consacrer pleinement à l'œuvre du Christ dans le monde (voir </w:t>
      </w:r>
      <w:hyperlink r:id="rId51">
        <w:r>
          <w:rPr>
            <w:color w:val="0000EE"/>
            <w:u w:val="single"/>
          </w:rPr>
          <w:t>7.32–35</w:t>
        </w:r>
      </w:hyperlink>
      <w:r>
        <w:t>). Les deux modes de vie (le mariage et le célibat) ne sont pas des fins en soi, mais des moyens différents de participer à l'objectif plus important de servir le Christ.</w:t>
      </w:r>
    </w:p>
    <w:p>
      <w:r/>
      <w:r>
        <w:t xml:space="preserve">La sainte Cène. Cette lettre apporte un éclairage significatif sur la compréhension et la pratique chrétienne primitive de la sainte Cène : c'est la seule analyse approfondie à ce sujet, dans tout le Nouveau Testament (chap. </w:t>
      </w:r>
      <w:hyperlink r:id="rId52">
        <w:r>
          <w:rPr>
            <w:color w:val="0000EE"/>
            <w:u w:val="single"/>
          </w:rPr>
          <w:t>10–11</w:t>
        </w:r>
      </w:hyperlink>
      <w:r>
        <w:t>).</w:t>
      </w:r>
    </w:p>
    <w:p>
      <w:r/>
      <w:r>
        <w:t xml:space="preserve">L'Église comme un corps. Paul conçoit l'Église comme un corps dynamique, guidé par l'Esprit et composé de différentes parties, chacune ayant un travail unique à accomplir (chap. </w:t>
      </w:r>
      <w:hyperlink r:id="rId53">
        <w:r>
          <w:rPr>
            <w:color w:val="0000EE"/>
            <w:u w:val="single"/>
          </w:rPr>
          <w:t>12</w:t>
        </w:r>
      </w:hyperlink>
      <w:r>
        <w:t xml:space="preserve">, </w:t>
      </w:r>
      <w:hyperlink r:id="rId54">
        <w:r>
          <w:rPr>
            <w:color w:val="0000EE"/>
            <w:u w:val="single"/>
          </w:rPr>
          <w:t>14</w:t>
        </w:r>
      </w:hyperlink>
      <w:r>
        <w:t>). Alors que le christianisme en est à ses débuts, il n'existe pas encore de distinction entre ceux qui sont consacrés au ministère à part entière et ceux qui travaillent dans le milieu séculier, mais la répartition des rôles ouvre la possibilité à un ministère complémentaire des dons de l'Esprit lorsque les chrétiens se rassemblent. Chaque personne a un rôle à jouer dans l'édification du corps, et les individus dépendent de l'Esprit qui les rend capables d'exercer leurs ministères, et qui les guide.</w:t>
      </w:r>
    </w:p>
    <w:p>
      <w:r/>
      <w:r>
        <w:t xml:space="preserve">La Résurrection. De tous les écrits du Nouveau Testament, c'est cette lettre qui nous apporte la théologie la plus complète sur la résurrection (chap. </w:t>
      </w:r>
      <w:hyperlink r:id="rId26">
        <w:r>
          <w:rPr>
            <w:color w:val="0000EE"/>
            <w:u w:val="single"/>
          </w:rPr>
          <w:t>15</w:t>
        </w:r>
      </w:hyperlink>
      <w:r>
        <w:t>) : la liste la plus fournie des témoins oculaires de la résurrection de Jésus, la justification d'une résurrection future et la nature des corps ressuscités.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