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Jean</w:t>
      </w:r>
      <w:r/>
    </w:p>
    <w:p>
      <w:r/>
      <w:r>
        <w:t xml:space="preserve">La deuxième épître de Jean est le livre le plus court du Nouveau Testament, avec seulement treize versets. Dans l'Antiquité, elle aurait tenu sur une seule feuille de papyrus. </w:t>
      </w:r>
      <w: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1"/>
      </w:pPr>
      <w:r>
        <w:t>Contexte</w:t>
      </w:r>
    </w:p>
    <w:p>
      <w:r/>
      <w:r>
        <w:t xml:space="preserve">Le contexte de 2 Jean est similaire à celui de 1 Jean (voir </w:t>
      </w:r>
      <w:r>
        <w:t>Introduction au livre de 1 Jean, « Contexte »</w:t>
      </w:r>
      <w: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1"/>
      </w:pPr>
      <w:r>
        <w:t>Résumé</w:t>
      </w:r>
    </w:p>
    <w:p>
      <w:r/>
      <w:r>
        <w:t>Cette lettre personnelle débute par une salutation (</w:t>
      </w:r>
      <w:hyperlink r:id="rId15">
        <w:r>
          <w:rPr>
            <w:color w:val="0000EE"/>
            <w:u w:val="single"/>
          </w:rPr>
          <w:t>1.1–3</w:t>
        </w:r>
      </w:hyperlink>
      <w:r>
        <w:t>) et exprime ensuite les souhaits de l'auteur (</w:t>
      </w:r>
      <w:hyperlink r:id="rId16">
        <w:r>
          <w:rPr>
            <w:color w:val="0000EE"/>
            <w:u w:val="single"/>
          </w:rPr>
          <w:t>1.4–11</w:t>
        </w:r>
      </w:hyperlink>
      <w: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1"/>
      </w:pPr>
      <w:r>
        <w:t>Auteur</w:t>
      </w:r>
    </w:p>
    <w:p>
      <w:r/>
      <w:r>
        <w:t>Certains spécialistes ont pensé que le Jean qui a écrit cette lettre (</w:t>
      </w:r>
      <w:hyperlink r:id="rId17">
        <w:r>
          <w:rPr>
            <w:color w:val="0000EE"/>
            <w:u w:val="single"/>
          </w:rPr>
          <w:t>1.1</w:t>
        </w:r>
      </w:hyperlink>
      <w:r>
        <w:t xml:space="preserve">) pourrait être une autre personne que l’apôtre. Toutefois, de solides arguments plaident en faveur de l’idée que l’apôtre Jean est bien l’auteur de cette lettre (voir </w:t>
      </w:r>
      <w:r>
        <w:t>Introduction au livre de 1 Jean</w:t>
      </w:r>
      <w:r>
        <w:t>, « Auteur »).</w:t>
      </w:r>
    </w:p>
    <w:p>
      <w:pPr>
        <w:pStyle w:val="Heading1"/>
      </w:pPr>
      <w:r>
        <w:t>Destinataires</w:t>
      </w:r>
    </w:p>
    <w:p>
      <w:r/>
      <w:r>
        <w:t xml:space="preserve">Les destinataires de 2 Jean sont désignés comme « </w:t>
      </w:r>
      <w:r>
        <w:t xml:space="preserve">Kyria l’élue et à ses enfants </w:t>
      </w:r>
      <w:r>
        <w:t>» (</w:t>
      </w:r>
      <w:hyperlink r:id="rId17">
        <w:r>
          <w:rPr>
            <w:color w:val="0000EE"/>
            <w:u w:val="single"/>
          </w:rPr>
          <w:t>1.1</w:t>
        </w:r>
      </w:hyperlink>
      <w:r>
        <w:t xml:space="preserve">). Cette expression pourrait faire allusion à une femme appelée Kyria et à ses enfants biologiques. Toutefois, il est plus probable que Jean parle d’une église locale (« </w:t>
      </w:r>
      <w:r>
        <w:t>Kyria l’élue</w:t>
      </w:r>
      <w:r>
        <w:t xml:space="preserve"> ») et de ses membres (« ses enfants » ; cf. </w:t>
      </w:r>
      <w:hyperlink r:id="rId18">
        <w:r>
          <w:rPr>
            <w:color w:val="0000EE"/>
            <w:u w:val="single"/>
          </w:rPr>
          <w:t>1P 5.13</w:t>
        </w:r>
      </w:hyperlink>
      <w:r>
        <w:t>). Si c'est le cas, 2 Jean a probablement été adressée à l’une des églises placées sous la responsabilité de Jean en Asie Mineure.</w:t>
      </w:r>
    </w:p>
    <w:p>
      <w:pPr>
        <w:pStyle w:val="Heading1"/>
      </w:pPr>
      <w:r>
        <w:t>Signification et message</w:t>
      </w:r>
    </w:p>
    <w:p>
      <w:r/>
      <w:r>
        <w:t>Le message de 2 Jean s’articule autour de deux axes. Premièrement, les membres de la communauté chrétienne sont appelés à s’aimer les uns les autres (</w:t>
      </w:r>
      <w:hyperlink r:id="rId19">
        <w:r>
          <w:rPr>
            <w:color w:val="0000EE"/>
            <w:u w:val="single"/>
          </w:rPr>
          <w:t>1.5</w:t>
        </w:r>
      </w:hyperlink>
      <w:r>
        <w:t>). Cet amour s’exprime concrètement par l’obéissance aux commandements de Jésus (</w:t>
      </w:r>
      <w:hyperlink r:id="rId20">
        <w:r>
          <w:rPr>
            <w:color w:val="0000EE"/>
            <w:u w:val="single"/>
          </w:rPr>
          <w:t>1.6</w:t>
        </w:r>
      </w:hyperlink>
      <w:r>
        <w:t>). Deuxièmement, Jean met en garde l’église contre les faux enseignants, qu’il faut identifier, éviter et tenir à distance.</w:t>
      </w:r>
    </w:p>
    <w:p>
      <w:r/>
      <w:r>
        <w:t>De nombreuses épîtres du Nouveau Testament ont été rédigées, au moins en partie, pour faire face à des enseignements erronés. C’est le cas de plusieurs lettres de Paul : Galates (</w:t>
      </w:r>
      <w:hyperlink r:id="rId21">
        <w:r>
          <w:rPr>
            <w:color w:val="0000EE"/>
            <w:u w:val="single"/>
          </w:rPr>
          <w:t>Ga 1.6</w:t>
        </w:r>
      </w:hyperlink>
      <w:r>
        <w:t>), Colossiens (</w:t>
      </w:r>
      <w:hyperlink r:id="rId22">
        <w:r>
          <w:rPr>
            <w:color w:val="0000EE"/>
            <w:u w:val="single"/>
          </w:rPr>
          <w:t>Col 2.16–23</w:t>
        </w:r>
      </w:hyperlink>
      <w:r>
        <w:t>), 2 Thessaloniciens (</w:t>
      </w:r>
      <w:hyperlink r:id="rId23">
        <w:r>
          <w:rPr>
            <w:color w:val="0000EE"/>
            <w:u w:val="single"/>
          </w:rPr>
          <w:t>2Th 2.1–3</w:t>
        </w:r>
      </w:hyperlink>
      <w:r>
        <w:t>), et 1 Timothée (</w:t>
      </w:r>
      <w:hyperlink r:id="rId24">
        <w:r>
          <w:rPr>
            <w:color w:val="0000EE"/>
            <w:u w:val="single"/>
          </w:rPr>
          <w:t>1Tm 4.1</w:t>
        </w:r>
      </w:hyperlink>
      <w:r>
        <w:t xml:space="preserve"> ; </w:t>
      </w:r>
      <w:hyperlink r:id="rId25">
        <w:r>
          <w:rPr>
            <w:color w:val="0000EE"/>
            <w:u w:val="single"/>
          </w:rPr>
          <w:t>6.20–21</w:t>
        </w:r>
      </w:hyperlink>
      <w:r>
        <w:t>). De même, Pierre a rédigé sa deuxième épître pour dénoncer les faux enseignants (</w:t>
      </w:r>
      <w:hyperlink r:id="rId26">
        <w:r>
          <w:rPr>
            <w:color w:val="0000EE"/>
            <w:u w:val="single"/>
          </w:rPr>
          <w:t>2P 2.1–22</w:t>
        </w:r>
      </w:hyperlink>
      <w:r>
        <w:t>), tout comme Jude (</w:t>
      </w:r>
      <w:hyperlink r:id="rId27">
        <w:r>
          <w:rPr>
            <w:color w:val="0000EE"/>
            <w:u w:val="single"/>
          </w:rPr>
          <w:t>Jd 1.3–4</w:t>
        </w:r>
      </w:hyperlink>
      <w:r>
        <w:t>). Les lettres de Jean ont, elles aussi, été écrites en réponse aux effets destructeurs de certains enseignements, comme le gnosticisme ou le docétisme, qui perturbaient plusieurs des premières églises.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