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उत्पत्ति</w:t>
      </w:r>
      <w:r/>
    </w:p>
    <w:p>
      <w:r/>
      <w: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1"/>
      </w:pPr>
      <w:r>
        <w:t>पृष्ठभूमि</w:t>
      </w:r>
    </w:p>
    <w:p>
      <w:r/>
      <w: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r/>
      <w:r>
        <w:t xml:space="preserve">मिस्र में गुलामी के समय पर, इस्राएलियों ने अपने मिस्र के स्वामियों से कई पराए विचारों और रीति-रिवाजों को अपनाया था (देखें </w:t>
      </w:r>
      <w:hyperlink r:id="rId15">
        <w:r>
          <w:rPr>
            <w:color w:val="0000EE"/>
            <w:u w:val="single"/>
          </w:rPr>
          <w:t>निर्ग 32:1–4</w:t>
        </w:r>
      </w:hyperlink>
      <w: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r/>
      <w: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1"/>
      </w:pPr>
      <w:r>
        <w:t>सारांश</w:t>
      </w:r>
    </w:p>
    <w:p>
      <w:r/>
      <w: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r/>
      <w:r>
        <w:t xml:space="preserve">पहले को छोड़कर उत्पत्ति के प्रत्येक खंड का शीर्षक है "यह विवरण है" (या </w:t>
      </w:r>
      <w:r>
        <w:rPr>
          <w:i/>
        </w:rPr>
        <w:t>ये पीढ़ियाँ हैं</w:t>
      </w:r>
      <w: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r/>
      <w:r>
        <w:t>पहले खंड (</w:t>
      </w:r>
      <w:hyperlink r:id="rId16">
        <w:r>
          <w:rPr>
            <w:color w:val="0000EE"/>
            <w:u w:val="single"/>
          </w:rPr>
          <w:t>1:1–2:3</w:t>
        </w:r>
      </w:hyperlink>
      <w:r>
        <w:t>) में टोलेडोथ/वंशावली शीर्षक नहीं है - यह उत्पत्ति का विवरण है "आदि में" (</w:t>
      </w:r>
      <w:hyperlink r:id="rId17">
        <w:r>
          <w:rPr>
            <w:color w:val="0000EE"/>
            <w:u w:val="single"/>
          </w:rPr>
          <w:t>1:1</w:t>
        </w:r>
      </w:hyperlink>
      <w:r>
        <w:t>)। जैसे परमेश्वर अपनी योजना को परिपूर्ण करते हैं, सृष्टि का कार्य परमेश्वर की स्वीकृति और आशीर्वाद में लिपटा हुआ है|</w:t>
      </w:r>
    </w:p>
    <w:p>
      <w:r/>
      <w:r>
        <w:t>अगला खंड (</w:t>
      </w:r>
      <w:hyperlink r:id="rId18">
        <w:r>
          <w:rPr>
            <w:color w:val="0000EE"/>
            <w:u w:val="single"/>
          </w:rPr>
          <w:t>2:4–4:26</w:t>
        </w:r>
      </w:hyperlink>
      <w:r>
        <w:t>) मनुष्य जीवन की उत्पत्ति पर केंद्रित है (</w:t>
      </w:r>
      <w:hyperlink r:id="rId19">
        <w:r>
          <w:rPr>
            <w:color w:val="0000EE"/>
            <w:u w:val="single"/>
          </w:rPr>
          <w:t>2:4–25</w:t>
        </w:r>
      </w:hyperlink>
      <w:r>
        <w:t>) और आगे का विवरण आदम और हव्वा के पाप के कारण परमेश्वर की सृष्टि का पतन (</w:t>
      </w:r>
      <w:hyperlink r:id="rId20">
        <w:r>
          <w:rPr>
            <w:color w:val="0000EE"/>
            <w:u w:val="single"/>
          </w:rPr>
          <w:t>3:1–13</w:t>
        </w:r>
      </w:hyperlink>
      <w:r>
        <w:t>), उनके पापों पर श्राप (</w:t>
      </w:r>
      <w:hyperlink r:id="rId21">
        <w:r>
          <w:rPr>
            <w:color w:val="0000EE"/>
            <w:u w:val="single"/>
          </w:rPr>
          <w:t>3:14–24</w:t>
        </w:r>
      </w:hyperlink>
      <w:r>
        <w:t>), और उनके पीड़ी पर पाप का विस्तार दर्शाती है (</w:t>
      </w:r>
      <w:hyperlink r:id="rId22">
        <w:r>
          <w:rPr>
            <w:color w:val="0000EE"/>
            <w:u w:val="single"/>
          </w:rPr>
          <w:t>4:1–24</w:t>
        </w:r>
      </w:hyperlink>
      <w: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r/>
      <w:r>
        <w:t>परमेश्वर से स्वतंत्रता के परिणामस्वरूप मानव जीवन का पतन हुआ (</w:t>
      </w:r>
      <w:hyperlink r:id="rId23">
        <w:r>
          <w:rPr>
            <w:color w:val="0000EE"/>
            <w:u w:val="single"/>
          </w:rPr>
          <w:t>5:1–6:8</w:t>
        </w:r>
      </w:hyperlink>
      <w:r>
        <w:t xml:space="preserve">)। </w:t>
      </w:r>
      <w:hyperlink r:id="rId24">
        <w:r>
          <w:rPr>
            <w:color w:val="0000EE"/>
            <w:u w:val="single"/>
          </w:rPr>
          <w:t>5:1–32</w:t>
        </w:r>
      </w:hyperlink>
      <w: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hyperlink r:id="rId25">
        <w:r>
          <w:rPr>
            <w:color w:val="0000EE"/>
            <w:u w:val="single"/>
          </w:rPr>
          <w:t>5:1–2</w:t>
        </w:r>
      </w:hyperlink>
      <w: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hyperlink r:id="rId26">
        <w:r>
          <w:rPr>
            <w:color w:val="0000EE"/>
            <w:u w:val="single"/>
          </w:rPr>
          <w:t>6:1–8</w:t>
        </w:r>
      </w:hyperlink>
      <w: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hyperlink r:id="rId27">
        <w:r>
          <w:rPr>
            <w:color w:val="0000EE"/>
            <w:u w:val="single"/>
          </w:rPr>
          <w:t>5:29</w:t>
        </w:r>
      </w:hyperlink>
      <w:r>
        <w:t xml:space="preserve">; </w:t>
      </w:r>
      <w:hyperlink r:id="rId28">
        <w:r>
          <w:rPr>
            <w:color w:val="0000EE"/>
            <w:u w:val="single"/>
          </w:rPr>
          <w:t>6:8</w:t>
        </w:r>
      </w:hyperlink>
      <w:r>
        <w:t>)।</w:t>
      </w:r>
    </w:p>
    <w:p>
      <w:r/>
      <w:r>
        <w:t>अगला भाग (</w:t>
      </w:r>
      <w:hyperlink r:id="rId29">
        <w:r>
          <w:rPr>
            <w:color w:val="0000EE"/>
            <w:u w:val="single"/>
          </w:rPr>
          <w:t>6:9–9:29</w:t>
        </w:r>
      </w:hyperlink>
      <w: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r/>
      <w:r>
        <w:t>लेकिन जैसे (</w:t>
      </w:r>
      <w:hyperlink r:id="rId30">
        <w:r>
          <w:rPr>
            <w:color w:val="0000EE"/>
            <w:u w:val="single"/>
          </w:rPr>
          <w:t>10:1–11:9</w:t>
        </w:r>
      </w:hyperlink>
      <w: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hyperlink r:id="rId31">
        <w:r>
          <w:rPr>
            <w:color w:val="0000EE"/>
            <w:u w:val="single"/>
          </w:rPr>
          <w:t>11:1–9</w:t>
        </w:r>
      </w:hyperlink>
      <w:r>
        <w:t>)।</w:t>
      </w:r>
    </w:p>
    <w:p>
      <w:r/>
      <w:r>
        <w:t xml:space="preserve">बिखरे हुए राष्ट्रों की अराजकता के बाद, </w:t>
      </w:r>
      <w:hyperlink r:id="rId32">
        <w:r>
          <w:rPr>
            <w:color w:val="0000EE"/>
            <w:u w:val="single"/>
          </w:rPr>
          <w:t>11:10–26</w:t>
        </w:r>
      </w:hyperlink>
      <w:r>
        <w:t xml:space="preserve"> अब्राहम पर ध्यान केंद्रित करता है, जिसके माध्यम से परमेश्वर सभी को आशीर्वाद देने का निर्णय करते हैं। पुस्तक का शेष भाग (</w:t>
      </w:r>
      <w:hyperlink r:id="rId33">
        <w:r>
          <w:rPr>
            <w:color w:val="0000EE"/>
            <w:u w:val="single"/>
          </w:rPr>
          <w:t>11:27–50:26</w:t>
        </w:r>
      </w:hyperlink>
      <w:r>
        <w:t>) अब्राम और उसके वंशजों को परमेश्वर के आशीर्वाद के बारे में बताता है। परमेश्वर ने सबसे पहले अब्राम के साथ एक वाचा बाँधी (</w:t>
      </w:r>
      <w:hyperlink r:id="rId34">
        <w:r>
          <w:rPr>
            <w:color w:val="0000EE"/>
            <w:u w:val="single"/>
          </w:rPr>
          <w:t>11:27–25:11</w:t>
        </w:r>
      </w:hyperlink>
      <w: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r/>
      <w: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hyperlink r:id="rId35">
        <w:r>
          <w:rPr>
            <w:color w:val="0000EE"/>
            <w:u w:val="single"/>
          </w:rPr>
          <w:t>25:12–18</w:t>
        </w:r>
      </w:hyperlink>
      <w:r>
        <w:t>) के साथ क्या हुआ, इसका संक्षेप में विवरण करने के बाद, उत्पत्ति विस्तार से बताती है कि इसहाक और उसके परिवार के साथ क्या हुआ (</w:t>
      </w:r>
      <w:hyperlink r:id="rId36">
        <w:r>
          <w:rPr>
            <w:color w:val="0000EE"/>
            <w:u w:val="single"/>
          </w:rPr>
          <w:t>25:19–35:29</w:t>
        </w:r>
      </w:hyperlink>
      <w:r>
        <w:t>)। इसी तरह, एसाव की वंशावली (एदोम) को लंबे अंतिम खंड से पहले संक्षेप में (</w:t>
      </w:r>
      <w:hyperlink r:id="rId37">
        <w:r>
          <w:rPr>
            <w:color w:val="0000EE"/>
            <w:u w:val="single"/>
          </w:rPr>
          <w:t>36:1–37:1</w:t>
        </w:r>
      </w:hyperlink>
      <w:r>
        <w:t>) निपटाया गया है, जो उत्तराधिकारी याकूब की चुनी हुई वंशावली से संबंधित है (</w:t>
      </w:r>
      <w:hyperlink r:id="rId38">
        <w:r>
          <w:rPr>
            <w:color w:val="0000EE"/>
            <w:u w:val="single"/>
          </w:rPr>
          <w:t>37:2–50:26</w:t>
        </w:r>
      </w:hyperlink>
      <w:r>
        <w:t>)।</w:t>
      </w:r>
    </w:p>
    <w:p>
      <w:r/>
      <w: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hyperlink r:id="rId39">
        <w:r>
          <w:rPr>
            <w:color w:val="0000EE"/>
            <w:u w:val="single"/>
          </w:rPr>
          <w:t>50:24–26</w:t>
        </w:r>
      </w:hyperlink>
      <w:r>
        <w:t>)।</w:t>
      </w:r>
    </w:p>
    <w:p>
      <w:pPr>
        <w:pStyle w:val="Heading1"/>
      </w:pPr>
      <w:r>
        <w:t>लेखकत्व</w:t>
      </w:r>
    </w:p>
    <w:p>
      <w:r/>
      <w: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rPr>
        <w:t>डॉक्युमेंट्री हाइपोथीसिस</w:t>
      </w:r>
      <w: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r/>
      <w:r>
        <w:t>हालाँकि, पवित्रशास्त्र और परंपरा दोनों ही पेंटाटुक का लेखक का श्रेय मूसा को देते हैं। मूसा को मिस्रियों के सभी ज्ञान की शिक्षा मिली थी (</w:t>
      </w:r>
      <w:hyperlink r:id="rId40">
        <w:r>
          <w:rPr>
            <w:color w:val="0000EE"/>
            <w:u w:val="single"/>
          </w:rPr>
          <w:t>प्रेरितों 7:22</w:t>
        </w:r>
      </w:hyperlink>
      <w: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r/>
      <w:r>
        <w:t xml:space="preserve">यह संभव है कि मूसा ने पेंटाटुक में दर्ज विषयों के मूल स्रोत के रूप में कार्य किया और बाद में कुछ संपादकीय समायोजन किए गए (मूसा की मृत्यु का विवरण सहित, </w:t>
      </w:r>
      <w:hyperlink r:id="rId41">
        <w:r>
          <w:rPr>
            <w:color w:val="0000EE"/>
            <w:u w:val="single"/>
          </w:rPr>
          <w:t>व्य.वि. 34</w:t>
        </w:r>
      </w:hyperlink>
      <w:r>
        <w:t xml:space="preserve"> )। इसके बावजूद, इस्राएलियों ने पेंटाटुक को मूसा के अधिकार की पूरी शक्ति के रूप में स्वीकार किया।</w:t>
      </w:r>
    </w:p>
    <w:p>
      <w:pPr>
        <w:pStyle w:val="Heading1"/>
      </w:pPr>
      <w:r>
        <w:t>रचना</w:t>
      </w:r>
    </w:p>
    <w:p>
      <w:r/>
      <w: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r/>
      <w:r>
        <w:t xml:space="preserve">उत्पत्ति में ऐसे अंश और अभिव्यक्तियाँ भी शामिल हैं जो स्पष्ट रूप से बाद की संपादकीय शब्दावली हैं। कुछ खंड (जैसे की एदोमी राजाओं की सूची, </w:t>
      </w:r>
      <w:hyperlink r:id="rId42">
        <w:r>
          <w:rPr>
            <w:color w:val="0000EE"/>
            <w:u w:val="single"/>
          </w:rPr>
          <w:t>36:31–43</w:t>
        </w:r>
      </w:hyperlink>
      <w: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1"/>
      </w:pPr>
      <w:r>
        <w:t>साहित्यिक चरित्र</w:t>
      </w:r>
    </w:p>
    <w:p>
      <w:r/>
      <w:r>
        <w:t>उत्पत्ति में विभिन्न प्रकार के साहित्य शामिल हैं। विषयवस्तुओं की प्रकृति के संबंध में कई सुझाव दिए गए हैं।</w:t>
      </w:r>
    </w:p>
    <w:p>
      <w:r/>
      <w: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hyperlink r:id="rId43">
        <w:r>
          <w:rPr>
            <w:color w:val="0000EE"/>
            <w:u w:val="single"/>
          </w:rPr>
          <w:t>उत्पत्ति 38:15</w:t>
        </w:r>
      </w:hyperlink>
      <w:r>
        <w:t xml:space="preserve">, </w:t>
      </w:r>
      <w:hyperlink r:id="rId44">
        <w:r>
          <w:rPr>
            <w:color w:val="0000EE"/>
            <w:u w:val="single"/>
          </w:rPr>
          <w:t>21–22</w:t>
        </w:r>
      </w:hyperlink>
      <w:r>
        <w:t>)।</w:t>
      </w:r>
    </w:p>
    <w:p>
      <w:r/>
      <w: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r/>
      <w: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hyperlink r:id="rId45">
        <w:r>
          <w:rPr>
            <w:color w:val="0000EE"/>
            <w:u w:val="single"/>
          </w:rPr>
          <w:t>1:14–18</w:t>
        </w:r>
      </w:hyperlink>
      <w:r>
        <w:t>)। उत्पत्ति की पुस्तक निर्जीव मिथकों और मृत देवताओं के लिए एक कब्रिस्तान है।</w:t>
      </w:r>
    </w:p>
    <w:p>
      <w:r/>
      <w: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r/>
      <w: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hyperlink r:id="rId46">
        <w:r>
          <w:rPr>
            <w:color w:val="0000EE"/>
            <w:u w:val="single"/>
          </w:rPr>
          <w:t>उत्पत्ति 2</w:t>
        </w:r>
      </w:hyperlink>
      <w: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r/>
      <w: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r/>
      <w: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r/>
      <w: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r/>
      <w: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r/>
      <w: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r/>
      <w: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1"/>
      </w:pPr>
      <w:r>
        <w:t>अर्थ और संदेश</w:t>
      </w:r>
    </w:p>
    <w:p>
      <w:r/>
      <w: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r/>
      <w: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r/>
      <w:r>
        <w:t>इस्राएल अपनी वंशावली को कुलपिता अब्राहम से और अपनी तक़दीर को परमेश्वर के वादों से जोड़ सकता है (</w:t>
      </w:r>
      <w:hyperlink r:id="rId47">
        <w:r>
          <w:rPr>
            <w:color w:val="0000EE"/>
            <w:u w:val="single"/>
          </w:rPr>
          <w:t>12:1–3</w:t>
        </w:r>
      </w:hyperlink>
      <w:r>
        <w:t xml:space="preserve">; </w:t>
      </w:r>
      <w:hyperlink r:id="rId48">
        <w:r>
          <w:rPr>
            <w:color w:val="0000EE"/>
            <w:u w:val="single"/>
          </w:rPr>
          <w:t>15:1–21</w:t>
        </w:r>
      </w:hyperlink>
      <w:r>
        <w:t xml:space="preserve">; </w:t>
      </w:r>
      <w:hyperlink r:id="rId49">
        <w:r>
          <w:rPr>
            <w:color w:val="0000EE"/>
            <w:u w:val="single"/>
          </w:rPr>
          <w:t>17:1–8</w:t>
        </w:r>
      </w:hyperlink>
      <w: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r/>
      <w: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r/>
      <w: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r/>
      <w: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hyperlink r:id="rId50">
        <w:r>
          <w:rPr>
            <w:color w:val="0000EE"/>
            <w:u w:val="single"/>
          </w:rPr>
          <w:t>रोम 8:28</w:t>
        </w:r>
      </w:hyperlink>
      <w:r>
        <w:t>)।</w:t>
      </w:r>
    </w:p>
    <w:p>
      <w:r/>
      <w: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r/>
      <w: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hyperlink r:id="rId51">
        <w:r>
          <w:rPr>
            <w:color w:val="0000EE"/>
            <w:u w:val="single"/>
          </w:rPr>
          <w:t>इब्रा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