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गिनती</w:t>
      </w:r>
      <w:r/>
    </w:p>
    <w:p>
      <w:r/>
      <w: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1"/>
      </w:pPr>
      <w:r>
        <w:t>परिस्थिति</w:t>
      </w:r>
    </w:p>
    <w:p>
      <w:r/>
      <w: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r/>
      <w: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1"/>
      </w:pPr>
      <w:r>
        <w:t>सारांश</w:t>
      </w:r>
    </w:p>
    <w:p>
      <w:r/>
      <w:r>
        <w:t>गिनती की पुस्तक की संरचना जंगल में इस्राएल की यात्रा के तीन चरणों से मिलती है: (1) उन्नीस दिन जिसमें इस्राएल ने सीनै पर्वत से प्रस्थान करने की तैयारी की (</w:t>
      </w:r>
      <w:hyperlink r:id="rId15">
        <w:r>
          <w:rPr>
            <w:color w:val="0000EE"/>
            <w:u w:val="single"/>
          </w:rPr>
          <w:t>1:1–10:10</w:t>
        </w:r>
      </w:hyperlink>
      <w:r>
        <w:t>), (2) सीनै से मोआब के मैदानों तक उनतालीस वर्षों की यात्रा (</w:t>
      </w:r>
      <w:hyperlink r:id="rId16">
        <w:r>
          <w:rPr>
            <w:color w:val="0000EE"/>
            <w:u w:val="single"/>
          </w:rPr>
          <w:t>10:11–22:1</w:t>
        </w:r>
      </w:hyperlink>
      <w:r>
        <w:t>), और (3) कनान में प्रवेश करने से ठीक पहले मोआब के मैदानों पर इस्राएल के डेरे के अंतिम महीने (</w:t>
      </w:r>
      <w:hyperlink r:id="rId17">
        <w:r>
          <w:rPr>
            <w:color w:val="0000EE"/>
            <w:u w:val="single"/>
          </w:rPr>
          <w:t>21:1–36:13</w:t>
        </w:r>
      </w:hyperlink>
      <w:r>
        <w:t>)।</w:t>
      </w:r>
    </w:p>
    <w:p>
      <w:r/>
      <w:r>
        <w:t xml:space="preserve">इस्राएल के सैन्य आयु के पुरुषों के दो पंजीकरण (अध्याय </w:t>
      </w:r>
      <w:hyperlink r:id="rId18">
        <w:r>
          <w:rPr>
            <w:color w:val="0000EE"/>
            <w:u w:val="single"/>
          </w:rPr>
          <w:t>1–4</w:t>
        </w:r>
      </w:hyperlink>
      <w:r>
        <w:t xml:space="preserve">, </w:t>
      </w:r>
      <w:hyperlink r:id="rId19">
        <w:r>
          <w:rPr>
            <w:color w:val="0000EE"/>
            <w:u w:val="single"/>
          </w:rPr>
          <w:t>26</w:t>
        </w:r>
      </w:hyperlink>
      <w: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r/>
      <w:r>
        <w:t xml:space="preserve">रास्ते में, मिस्र छोड़ने वाले इब्रानियों ने बार-बार विद्रोह किया (अध्याय </w:t>
      </w:r>
      <w:hyperlink r:id="rId20">
        <w:r>
          <w:rPr>
            <w:color w:val="0000EE"/>
            <w:u w:val="single"/>
          </w:rPr>
          <w:t>11</w:t>
        </w:r>
      </w:hyperlink>
      <w:r>
        <w:t xml:space="preserve">, </w:t>
      </w:r>
      <w:hyperlink r:id="rId21">
        <w:r>
          <w:rPr>
            <w:color w:val="0000EE"/>
            <w:u w:val="single"/>
          </w:rPr>
          <w:t>12</w:t>
        </w:r>
      </w:hyperlink>
      <w:r>
        <w:t xml:space="preserve">, </w:t>
      </w:r>
      <w:hyperlink r:id="rId22">
        <w:r>
          <w:rPr>
            <w:color w:val="0000EE"/>
            <w:u w:val="single"/>
          </w:rPr>
          <w:t>14</w:t>
        </w:r>
      </w:hyperlink>
      <w:r>
        <w:t xml:space="preserve">, </w:t>
      </w:r>
      <w:hyperlink r:id="rId23">
        <w:r>
          <w:rPr>
            <w:color w:val="0000EE"/>
            <w:u w:val="single"/>
          </w:rPr>
          <w:t>16–17</w:t>
        </w:r>
      </w:hyperlink>
      <w:r>
        <w:t xml:space="preserve">, </w:t>
      </w:r>
      <w:hyperlink r:id="rId24">
        <w:r>
          <w:rPr>
            <w:color w:val="0000EE"/>
            <w:u w:val="single"/>
          </w:rPr>
          <w:t>20</w:t>
        </w:r>
      </w:hyperlink>
      <w:r>
        <w:t xml:space="preserve">, </w:t>
      </w:r>
      <w:hyperlink r:id="rId25">
        <w:r>
          <w:rPr>
            <w:color w:val="0000EE"/>
            <w:u w:val="single"/>
          </w:rPr>
          <w:t>25</w:t>
        </w:r>
      </w:hyperlink>
      <w:r>
        <w:t>)। यहोशू और कालेब को छोड़कर वे सभी जंगल में मर गए, जिनका विश्वास अनुकरणीय था (</w:t>
      </w:r>
      <w:hyperlink r:id="rId26">
        <w:r>
          <w:rPr>
            <w:color w:val="0000EE"/>
            <w:u w:val="single"/>
          </w:rPr>
          <w:t>13:30</w:t>
        </w:r>
      </w:hyperlink>
      <w:r>
        <w:t xml:space="preserve">; </w:t>
      </w:r>
      <w:hyperlink r:id="rId27">
        <w:r>
          <w:rPr>
            <w:color w:val="0000EE"/>
            <w:u w:val="single"/>
          </w:rPr>
          <w:t>14:6–9</w:t>
        </w:r>
      </w:hyperlink>
      <w:r>
        <w:t>)।</w:t>
      </w:r>
    </w:p>
    <w:p>
      <w:r/>
      <w:r>
        <w:t xml:space="preserve">कनान में प्रवेश करने से पहले इस्राएल की सेना को कई मौकों पर परखा गया (अध्याय </w:t>
      </w:r>
      <w:hyperlink r:id="rId22">
        <w:r>
          <w:rPr>
            <w:color w:val="0000EE"/>
            <w:u w:val="single"/>
          </w:rPr>
          <w:t>14</w:t>
        </w:r>
      </w:hyperlink>
      <w:r>
        <w:t xml:space="preserve">, </w:t>
      </w:r>
      <w:hyperlink r:id="rId28">
        <w:r>
          <w:rPr>
            <w:color w:val="0000EE"/>
            <w:u w:val="single"/>
          </w:rPr>
          <w:t>21</w:t>
        </w:r>
      </w:hyperlink>
      <w:r>
        <w:t xml:space="preserve">, </w:t>
      </w:r>
      <w:hyperlink r:id="rId29">
        <w:r>
          <w:rPr>
            <w:color w:val="0000EE"/>
            <w:u w:val="single"/>
          </w:rPr>
          <w:t>31</w:t>
        </w:r>
      </w:hyperlink>
      <w:r>
        <w:t xml:space="preserve">), और बिलाम की कहानी सुनाई गई (अध्याय </w:t>
      </w:r>
      <w:hyperlink r:id="rId30">
        <w:r>
          <w:rPr>
            <w:color w:val="0000EE"/>
            <w:u w:val="single"/>
          </w:rPr>
          <w:t>22–24</w:t>
        </w:r>
      </w:hyperlink>
      <w:r>
        <w:t xml:space="preserve">)। यरदन पार में बसने की व्यवस्था की गई (अध्याय </w:t>
      </w:r>
      <w:hyperlink r:id="rId31">
        <w:r>
          <w:rPr>
            <w:color w:val="0000EE"/>
            <w:u w:val="single"/>
          </w:rPr>
          <w:t>32</w:t>
        </w:r>
      </w:hyperlink>
      <w:r>
        <w:t xml:space="preserve">), जंगल की यात्रा की समीक्षा की गई (अध्याय </w:t>
      </w:r>
      <w:hyperlink r:id="rId32">
        <w:r>
          <w:rPr>
            <w:color w:val="0000EE"/>
            <w:u w:val="single"/>
          </w:rPr>
          <w:t>33</w:t>
        </w:r>
      </w:hyperlink>
      <w:r>
        <w:t xml:space="preserve">), और मूसा ने कनान पर कब्ज़ा करने का अनुमान लगाया (अध्याय </w:t>
      </w:r>
      <w:hyperlink r:id="rId33">
        <w:r>
          <w:rPr>
            <w:color w:val="0000EE"/>
            <w:u w:val="single"/>
          </w:rPr>
          <w:t>34–36</w:t>
        </w:r>
      </w:hyperlink>
      <w:r>
        <w:t>)।</w:t>
      </w:r>
    </w:p>
    <w:p>
      <w:r/>
      <w:r>
        <w:t>गिनती इस बात का अध्ययन है कि कैसे इस्राएल ने अपने दैनिक अनुभवों में वाचा के नियमों का पालन किया—और पालन करने में असफल रहे।</w:t>
      </w:r>
    </w:p>
    <w:p>
      <w:pPr>
        <w:pStyle w:val="Heading1"/>
      </w:pPr>
      <w:r>
        <w:t>लेखक</w:t>
      </w:r>
    </w:p>
    <w:p>
      <w:r/>
      <w: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4">
        <w:r>
          <w:rPr>
            <w:color w:val="0000EE"/>
            <w:u w:val="single"/>
          </w:rPr>
          <w:t>गिन 33:1–2</w:t>
        </w:r>
      </w:hyperlink>
      <w: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5">
        <w:r>
          <w:rPr>
            <w:color w:val="0000EE"/>
            <w:u w:val="single"/>
          </w:rPr>
          <w:t>व्य.वि. 34</w:t>
        </w:r>
      </w:hyperlink>
      <w: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r/>
      <w: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t>उत्पत्ति पुस्तक परिचय,</w:t>
      </w:r>
      <w:r>
        <w:t xml:space="preserve"> "लेखकत्व")। यहां तक ​​कि बाद में लेखकों और संपादकों द्वारा किए गए संशोधनों को ध्यान में रखते हुए, गिनती काफी हद तक खुद को मूसा के कार्य के रूप में दर्शाती है।</w:t>
      </w:r>
    </w:p>
    <w:p>
      <w:r/>
    </w:p>
    <w:p>
      <w:pPr>
        <w:pStyle w:val="Heading1"/>
      </w:pPr>
      <w:r>
        <w:t>तारीख और भूगोल</w:t>
      </w:r>
    </w:p>
    <w:p>
      <w:r/>
      <w:r>
        <w:t xml:space="preserve">गिनती से संबंधित भौगोलिक, सांस्कृतिक और भाषाई विवरण निर्गमन और विजय के लिए या तो प्रारंभिक तिथि या बाद की तिथि (1400 या 1200 ईसा पूर्व) से मेल खाते हैं (देखें </w:t>
      </w:r>
      <w:r>
        <w:t>निर्गमन पुस्तक परिचय,</w:t>
      </w:r>
      <w:r>
        <w:t xml:space="preserve"> "निर्गमन की तिथि")।</w:t>
      </w:r>
    </w:p>
    <w:p>
      <w:r/>
      <w: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r/>
    </w:p>
    <w:p>
      <w:pPr>
        <w:pStyle w:val="Heading1"/>
      </w:pPr>
      <w:r>
        <w:t>साहित्यिक मुद्दे</w:t>
      </w:r>
    </w:p>
    <w:p>
      <w:r/>
      <w:r>
        <w:t xml:space="preserve">पुस्तक का शीर्षक। "गिनती" नाम इस पुस्तक की सांख्यिकी में रुचि से लिया गया है (अध्याय </w:t>
      </w:r>
      <w:hyperlink r:id="rId18">
        <w:r>
          <w:rPr>
            <w:color w:val="0000EE"/>
            <w:u w:val="single"/>
          </w:rPr>
          <w:t>1–4</w:t>
        </w:r>
      </w:hyperlink>
      <w:r>
        <w:t xml:space="preserve">, </w:t>
      </w:r>
      <w:hyperlink r:id="rId19">
        <w:r>
          <w:rPr>
            <w:color w:val="0000EE"/>
            <w:u w:val="single"/>
          </w:rPr>
          <w:t>26</w:t>
        </w:r>
      </w:hyperlink>
      <w:r>
        <w:t xml:space="preserve"> देखें)। यह शीर्षक लातीनी शीर्षक </w:t>
      </w:r>
      <w:r>
        <w:rPr>
          <w:i/>
        </w:rPr>
        <w:t>न्यूमेरी</w:t>
      </w:r>
      <w:r>
        <w:t xml:space="preserve"> और यूनानी </w:t>
      </w:r>
      <w:r>
        <w:rPr>
          <w:i/>
        </w:rPr>
        <w:t>एरिथमोई</w:t>
      </w:r>
      <w:r>
        <w:t xml:space="preserve"> का अंग्रेजी अनुवाद है, जो पुराने नियम के लातीनी वल्गेट और यूनानी सेप्टुआजिंट अनुवादों द्वारा इस पुस्तक को दिए गए नाम हैं। </w:t>
      </w:r>
    </w:p>
    <w:p>
      <w:r/>
      <w: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6">
        <w:r>
          <w:rPr>
            <w:color w:val="0000EE"/>
            <w:u w:val="single"/>
          </w:rPr>
          <w:t>गिन 1:1</w:t>
        </w:r>
      </w:hyperlink>
      <w:r>
        <w:t xml:space="preserve"> का चौथा शब्द है। यह शीर्षक निश्चित रूप से उपयुक्त है, क्योंकि यह पुस्तक की भौगोलिक परिस्थिति और कालानुक्रमिक रूपरेखा को दर्शाता है।</w:t>
      </w:r>
    </w:p>
    <w:p>
      <w:r/>
      <w:r>
        <w:t xml:space="preserve">साहित्यिक शैलियाँ। गिनती की पुस्तक में कई प्रमुख साहित्यिक शैलियाँ शामिल हैं, जैसे कि कथा (उदा., </w:t>
      </w:r>
      <w:hyperlink r:id="rId37">
        <w:r>
          <w:rPr>
            <w:color w:val="0000EE"/>
            <w:u w:val="single"/>
          </w:rPr>
          <w:t>10:11–14:45</w:t>
        </w:r>
      </w:hyperlink>
      <w:r>
        <w:t xml:space="preserve">), कविता (उदा., अध्याय </w:t>
      </w:r>
      <w:hyperlink r:id="rId38">
        <w:r>
          <w:rPr>
            <w:color w:val="0000EE"/>
            <w:u w:val="single"/>
          </w:rPr>
          <w:t>23–24</w:t>
        </w:r>
      </w:hyperlink>
      <w:r>
        <w:t xml:space="preserve">), और कानून (उदा., अध्याय </w:t>
      </w:r>
      <w:hyperlink r:id="rId39">
        <w:r>
          <w:rPr>
            <w:color w:val="0000EE"/>
            <w:u w:val="single"/>
          </w:rPr>
          <w:t>4–6</w:t>
        </w:r>
      </w:hyperlink>
      <w:r>
        <w:t xml:space="preserve">)। इसमें तथ्यों और आंकड़ों की विस्तृत सूचियाँ भी शामिल हैं, जैसे पंजीकरण गणना (उदा., अध्याय </w:t>
      </w:r>
      <w:hyperlink r:id="rId18">
        <w:r>
          <w:rPr>
            <w:color w:val="0000EE"/>
            <w:u w:val="single"/>
          </w:rPr>
          <w:t>1–4</w:t>
        </w:r>
      </w:hyperlink>
      <w:r>
        <w:t xml:space="preserve">), भेंट (उदा., अध्याय </w:t>
      </w:r>
      <w:hyperlink r:id="rId40">
        <w:r>
          <w:rPr>
            <w:color w:val="0000EE"/>
            <w:u w:val="single"/>
          </w:rPr>
          <w:t>7</w:t>
        </w:r>
      </w:hyperlink>
      <w:r>
        <w:t xml:space="preserve">), और यात्रा कार्यक्रम (उदा., अध्याय </w:t>
      </w:r>
      <w:hyperlink r:id="rId32">
        <w:r>
          <w:rPr>
            <w:color w:val="0000EE"/>
            <w:u w:val="single"/>
          </w:rPr>
          <w:t>33</w:t>
        </w:r>
      </w:hyperlink>
      <w:r>
        <w:t xml:space="preserve">)। एन.एल.टी विभिन्न गद्य सूचियों को नामों और गिनती की संक्षिप्त तालिकाओं में संकलित करता है (अध्याय </w:t>
      </w:r>
      <w:hyperlink r:id="rId41">
        <w:r>
          <w:rPr>
            <w:color w:val="0000EE"/>
            <w:u w:val="single"/>
          </w:rPr>
          <w:t>1–2</w:t>
        </w:r>
      </w:hyperlink>
      <w:r>
        <w:t xml:space="preserve">; </w:t>
      </w:r>
      <w:hyperlink r:id="rId42">
        <w:r>
          <w:rPr>
            <w:color w:val="0000EE"/>
            <w:u w:val="single"/>
          </w:rPr>
          <w:t>13</w:t>
        </w:r>
      </w:hyperlink>
      <w:r>
        <w:t xml:space="preserve">, </w:t>
      </w:r>
      <w:hyperlink r:id="rId43">
        <w:r>
          <w:rPr>
            <w:color w:val="0000EE"/>
            <w:u w:val="single"/>
          </w:rPr>
          <w:t>34</w:t>
        </w:r>
      </w:hyperlink>
      <w:r>
        <w:t>)।</w:t>
      </w:r>
    </w:p>
    <w:p>
      <w:r/>
      <w:r>
        <w:t xml:space="preserve">साहित्यिक स्रोत। इब्रानी बाइबल प्राचीन स्रोतों की पहचान करती है जिन्हें मूसा (और संभवतः बाद के संपादकों) ने परामर्श किया, जैसे </w:t>
      </w:r>
      <w:r>
        <w:rPr>
          <w:i/>
        </w:rPr>
        <w:t xml:space="preserve">यहोवा के संग्राम </w:t>
      </w:r>
      <w:r>
        <w:rPr>
          <w:i/>
        </w:rPr>
        <w:t xml:space="preserve">की </w:t>
      </w:r>
      <w:r>
        <w:rPr>
          <w:i/>
        </w:rPr>
        <w:t xml:space="preserve"> पुस्तक</w:t>
      </w:r>
      <w:r>
        <w:t xml:space="preserve"> (</w:t>
      </w:r>
      <w:hyperlink r:id="rId44">
        <w:r>
          <w:rPr>
            <w:color w:val="0000EE"/>
            <w:u w:val="single"/>
          </w:rPr>
          <w:t>21:14–15</w:t>
        </w:r>
      </w:hyperlink>
      <w:r>
        <w:t>), "कुएं का गीत" (</w:t>
      </w:r>
      <w:hyperlink r:id="rId45">
        <w:r>
          <w:rPr>
            <w:color w:val="0000EE"/>
            <w:u w:val="single"/>
          </w:rPr>
          <w:t>21:17–18</w:t>
        </w:r>
      </w:hyperlink>
      <w:r>
        <w:t>), और "हेशबोन का गीत" (</w:t>
      </w:r>
      <w:hyperlink r:id="rId46">
        <w:r>
          <w:rPr>
            <w:color w:val="0000EE"/>
            <w:u w:val="single"/>
          </w:rPr>
          <w:t>21:27–30</w:t>
        </w:r>
      </w:hyperlink>
      <w:r>
        <w:t xml:space="preserve">)। अध्याय </w:t>
      </w:r>
      <w:hyperlink r:id="rId38">
        <w:r>
          <w:rPr>
            <w:color w:val="0000EE"/>
            <w:u w:val="single"/>
          </w:rPr>
          <w:t>23–24</w:t>
        </w:r>
      </w:hyperlink>
      <w:r>
        <w:t xml:space="preserve"> में गैर-इस्राएली भविष्यद्वक्ता बिलाम की कई काव्य पंक्तियाँ हैं; अध्याय </w:t>
      </w:r>
      <w:hyperlink r:id="rId47">
        <w:r>
          <w:rPr>
            <w:color w:val="0000EE"/>
            <w:u w:val="single"/>
          </w:rPr>
          <w:t>31:32–47</w:t>
        </w:r>
      </w:hyperlink>
      <w:r>
        <w:t xml:space="preserve"> युद्ध में </w:t>
      </w:r>
      <w:r>
        <w:t>लूट</w:t>
      </w:r>
      <w:r>
        <w:t xml:space="preserve"> के वास्तविक अभिलेख पर आधारित प्रतीत होता है; और अध्याय </w:t>
      </w:r>
      <w:hyperlink r:id="rId32">
        <w:r>
          <w:rPr>
            <w:color w:val="0000EE"/>
            <w:u w:val="single"/>
          </w:rPr>
          <w:t>33</w:t>
        </w:r>
      </w:hyperlink>
      <w:r>
        <w:t xml:space="preserve"> एक लिखित दैनिक विवरण से लिया गया प्रतीत होता है।</w:t>
      </w:r>
    </w:p>
    <w:p>
      <w:r/>
      <w:r>
        <w:t xml:space="preserve">शास्त्र भाग। गिनती का इब्रानी शास्त्र भाग बहुत अच्छी तरह से संरक्षित है, अध्याय </w:t>
      </w:r>
      <w:hyperlink r:id="rId48">
        <w:r>
          <w:rPr>
            <w:color w:val="0000EE"/>
            <w:u w:val="single"/>
          </w:rPr>
          <w:t>21–24</w:t>
        </w:r>
      </w:hyperlink>
      <w: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1"/>
      </w:pPr>
      <w:r>
        <w:t>अर्थ और संदेश</w:t>
      </w:r>
    </w:p>
    <w:p>
      <w:r/>
      <w: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r/>
      <w: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r/>
      <w: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hyperlink r:id="rId49">
        <w:r>
          <w:rPr>
            <w:color w:val="0000EE"/>
            <w:u w:val="single"/>
          </w:rPr>
          <w:t>1 कुरिन्थियों 10:1–11</w:t>
        </w:r>
      </w:hyperlink>
      <w: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50">
        <w:r>
          <w:rPr>
            <w:color w:val="0000EE"/>
            <w:u w:val="single"/>
          </w:rPr>
          <w:t>1 कुरि 10:9</w:t>
        </w:r>
      </w:hyperlink>
      <w:r>
        <w:t>)।</w:t>
      </w:r>
    </w:p>
    <w:p>
      <w:pPr>
        <w:pStyle w:val="ListBullet"/>
        <w:spacing w:line="240" w:lineRule="auto"/>
        <w:ind w:left="720"/>
      </w:pPr>
      <w:r/>
      <w: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51">
        <w:r>
          <w:rPr>
            <w:color w:val="0000EE"/>
            <w:u w:val="single"/>
          </w:rPr>
          <w:t>इब्रा 3:7–4:11</w:t>
        </w:r>
      </w:hyperlink>
      <w:r>
        <w:t xml:space="preserve">)। ये पद, जो </w:t>
      </w:r>
      <w:hyperlink r:id="rId52">
        <w:r>
          <w:rPr>
            <w:color w:val="0000EE"/>
            <w:u w:val="single"/>
          </w:rPr>
          <w:t xml:space="preserve">भजन संहिता 95 </w:t>
        </w:r>
      </w:hyperlink>
      <w: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hyperlink r:id="rId53">
        <w:r>
          <w:rPr>
            <w:color w:val="0000EE"/>
            <w:u w:val="single"/>
          </w:rPr>
          <w:t>यहूदा 1:5</w:t>
        </w:r>
      </w:hyperlink>
      <w:r>
        <w:t xml:space="preserve"> मसीहियों को गिनती की घटना का सारांश देकर विश्वासयोग्यता के महत्व के बारे में सिखाते हैं।</w:t>
      </w:r>
    </w:p>
    <w:p>
      <w:r/>
      <w: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