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Kejadian</w:t>
      </w:r>
      <w:r/>
    </w:p>
    <w:p>
      <w:r/>
      <w: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1"/>
      </w:pPr>
      <w:r>
        <w:t>Pengaturan</w:t>
      </w:r>
    </w:p>
    <w:p>
      <w:r/>
      <w: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r/>
      <w:r>
        <w:t xml:space="preserve">Saat diperbudak di Mesir, bangsa Israel telah mengadopsi banyak ide dan kebiasaan kafir dari tuan-tuan Mesir mereka (lihat </w:t>
      </w:r>
      <w:hyperlink r:id="rId15">
        <w:r>
          <w:rPr>
            <w:color w:val="0000EE"/>
            <w:u w:val="single"/>
          </w:rPr>
          <w:t>Kel. 32:1–4</w:t>
        </w:r>
      </w:hyperlink>
      <w: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r/>
      <w: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1"/>
      </w:pPr>
      <w:r>
        <w:t>Ringkasan</w:t>
      </w:r>
    </w:p>
    <w:p>
      <w:r/>
      <w:r>
        <w:t>Kitab Kejadian menelusuri karya Allah untuk mengatasi dengan berkat, kutukan yang menimpa umat manusia karena dosa. Kitab ini menggabungkan tradisi keluarga, silsilah, peristiwa sejarah, dan komentar editorial menjadi sebuah argumen tunggal yang berkelanjutan.</w:t>
      </w:r>
    </w:p>
    <w:p>
      <w:r/>
      <w:r>
        <w:t xml:space="preserve">Setiap bagian Kitab Kejadian, kecuali yang pertama, memiliki judul “Inilah kisah” (atau </w:t>
      </w:r>
      <w:r>
        <w:rPr>
          <w:i/>
        </w:rPr>
        <w:t>Inilah keturunan</w:t>
      </w:r>
      <w: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r/>
      <w:r>
        <w:t>Bagian pertama (</w:t>
      </w:r>
      <w:hyperlink r:id="rId16">
        <w:r>
          <w:rPr>
            <w:color w:val="0000EE"/>
            <w:u w:val="single"/>
          </w:rPr>
          <w:t>1:1–2:3</w:t>
        </w:r>
      </w:hyperlink>
      <w:r>
        <w:t>) tidak memiliki judul “toledot”— ini adalah kisah penciptaan “pada mulanya” (</w:t>
      </w:r>
      <w:hyperlink r:id="rId17">
        <w:r>
          <w:rPr>
            <w:color w:val="0000EE"/>
            <w:u w:val="single"/>
          </w:rPr>
          <w:t>1:1</w:t>
        </w:r>
      </w:hyperlink>
      <w:r>
        <w:t>). Karya penciptaan terbungkus dalam persetujuan dan berkat Allah saat Ia memenuhi rencana-Nya.</w:t>
      </w:r>
    </w:p>
    <w:p>
      <w:r/>
      <w:r>
        <w:t>Bagian selanjutnya (</w:t>
      </w:r>
      <w:hyperlink r:id="rId18">
        <w:r>
          <w:rPr>
            <w:color w:val="0000EE"/>
            <w:u w:val="single"/>
          </w:rPr>
          <w:t>2:4–4:26</w:t>
        </w:r>
      </w:hyperlink>
      <w:r>
        <w:t>) berfokus pada penciptaan kehidupan manusia (</w:t>
      </w:r>
      <w:hyperlink r:id="rId19">
        <w:r>
          <w:rPr>
            <w:color w:val="0000EE"/>
            <w:u w:val="single"/>
          </w:rPr>
          <w:t>2:4–25</w:t>
        </w:r>
      </w:hyperlink>
      <w:r>
        <w:t>), dan menelusuri apa yang terjadi pada ciptaan Allah karena dosa Adam dan Hawa (</w:t>
      </w:r>
      <w:hyperlink r:id="rId20">
        <w:r>
          <w:rPr>
            <w:color w:val="0000EE"/>
            <w:u w:val="single"/>
          </w:rPr>
          <w:t>3:1–13</w:t>
        </w:r>
      </w:hyperlink>
      <w:r>
        <w:t>), kutukan atas dosa mereka (</w:t>
      </w:r>
      <w:hyperlink r:id="rId21">
        <w:r>
          <w:rPr>
            <w:color w:val="0000EE"/>
            <w:u w:val="single"/>
          </w:rPr>
          <w:t>3:14–24</w:t>
        </w:r>
      </w:hyperlink>
      <w:r>
        <w:t>), dan penyebaran dosa kepada keturunan mereka (</w:t>
      </w:r>
      <w:hyperlink r:id="rId22">
        <w:r>
          <w:rPr>
            <w:color w:val="0000EE"/>
            <w:u w:val="single"/>
          </w:rPr>
          <w:t>4:1–24</w:t>
        </w:r>
      </w:hyperlink>
      <w:r>
        <w:t>). Umat manusia tidak lagi menikmati peristirahatan Allah; sebaliknya, mereka mengalami rasa bersalah dan ketakutan. Maka mereka melarikan diri dari Allah dan membangun peradaban yang ditandai dengan kesombongan.</w:t>
      </w:r>
    </w:p>
    <w:p>
      <w:r/>
      <w:r>
        <w:t>Kemerdekaan dari Allah berakibat pada kemerosotan kehidupan manusia (</w:t>
      </w:r>
      <w:hyperlink r:id="rId23">
        <w:r>
          <w:rPr>
            <w:color w:val="0000EE"/>
            <w:u w:val="single"/>
          </w:rPr>
          <w:t>5:1–6:8</w:t>
        </w:r>
      </w:hyperlink>
      <w:r>
        <w:t xml:space="preserve">). Silsilah dari </w:t>
      </w:r>
      <w:hyperlink r:id="rId24">
        <w:r>
          <w:rPr>
            <w:color w:val="0000EE"/>
            <w:u w:val="single"/>
          </w:rPr>
          <w:t>5:1–32</w:t>
        </w:r>
      </w:hyperlink>
      <w:r>
        <w:t xml:space="preserve"> dimulai dengan mengingatkan bahwa manusia diciptakan menurut gambar Allah dan diberkati oleh-Nya (</w:t>
      </w:r>
      <w:hyperlink r:id="rId25">
        <w:r>
          <w:rPr>
            <w:color w:val="0000EE"/>
            <w:u w:val="single"/>
          </w:rPr>
          <w:t>5:1–2</w:t>
        </w:r>
      </w:hyperlink>
      <w:r>
        <w:t xml:space="preserve">). Ketika silsilah ditelusuri, kematian setiap generasi mengingatkan pembaca akan kutukan tersebut, dengan Henokh memberikan secercah harapan bahwa kutukan itu tidak kekal. Dalam </w:t>
      </w:r>
      <w:hyperlink r:id="rId26">
        <w:r>
          <w:rPr>
            <w:color w:val="0000EE"/>
            <w:u w:val="single"/>
          </w:rPr>
          <w:t>6:1–8</w:t>
        </w:r>
      </w:hyperlink>
      <w:r>
        <w:t>, kita belajar bahwa Allah menyesal telah menciptakan manusia dan memutuskan untuk menghakimi bumi. Nuh, meskipun demikian, menerima perkenanan Allah dan menjadi sumber pengharapan (</w:t>
      </w:r>
      <w:hyperlink r:id="rId27">
        <w:r>
          <w:rPr>
            <w:color w:val="0000EE"/>
            <w:u w:val="single"/>
          </w:rPr>
          <w:t>5:29</w:t>
        </w:r>
      </w:hyperlink>
      <w:r>
        <w:t xml:space="preserve">; </w:t>
      </w:r>
      <w:hyperlink r:id="rId28">
        <w:r>
          <w:rPr>
            <w:color w:val="0000EE"/>
            <w:u w:val="single"/>
          </w:rPr>
          <w:t>6:8</w:t>
        </w:r>
      </w:hyperlink>
      <w:r>
        <w:t>).</w:t>
      </w:r>
    </w:p>
    <w:p>
      <w:r/>
      <w:r>
        <w:t>Bagian selanjutnya (</w:t>
      </w:r>
      <w:hyperlink r:id="rId29">
        <w:r>
          <w:rPr>
            <w:color w:val="0000EE"/>
            <w:u w:val="single"/>
          </w:rPr>
          <w:t>6:9–9:29</w:t>
        </w:r>
      </w:hyperlink>
      <w:r>
        <w:t>) menceritakan kutukan penghukuman melalui air bah, diikuti dengan berkat dalam sebuah awal yang baru. Ciptaan diperbaharui, dibersihkan dari kejahatan keji yang telah merasuki dan merusak umat manusia.</w:t>
      </w:r>
    </w:p>
    <w:p>
      <w:r/>
      <w:r>
        <w:t>Namun, seiring dengan pertambahan populasi dunia dan telah tersebar ke dalam berbagai bangsa (</w:t>
      </w:r>
      <w:hyperlink r:id="rId30">
        <w:r>
          <w:rPr>
            <w:color w:val="0000EE"/>
            <w:u w:val="single"/>
          </w:rPr>
          <w:t>10:1–11:9</w:t>
        </w:r>
      </w:hyperlink>
      <w:r>
        <w:t>), orang-orang kembali terjerumus dalam ketidaktaatan. Karena pemberontakan mereka, Allah mencerai-beraikan mereka untuk mencegah kejahatan yang lebih besar (</w:t>
      </w:r>
      <w:hyperlink r:id="rId31">
        <w:r>
          <w:rPr>
            <w:color w:val="0000EE"/>
            <w:u w:val="single"/>
          </w:rPr>
          <w:t>11:1–9</w:t>
        </w:r>
      </w:hyperlink>
      <w:r>
        <w:t>).</w:t>
      </w:r>
    </w:p>
    <w:p>
      <w:r/>
      <w:r>
        <w:t xml:space="preserve">Setelah kekacauan bangsa-bangsa yang terpencar, </w:t>
      </w:r>
      <w:hyperlink r:id="rId32">
        <w:r>
          <w:rPr>
            <w:color w:val="0000EE"/>
            <w:u w:val="single"/>
          </w:rPr>
          <w:t>11:10–26</w:t>
        </w:r>
      </w:hyperlink>
      <w:r>
        <w:t xml:space="preserve"> memfokuskan kembali perhatian pada Abram, orang yang dipilih Allah untuk membawa berkat bagi semua. Bagian selanjutnya dari kitab ini (</w:t>
      </w:r>
      <w:hyperlink r:id="rId33">
        <w:r>
          <w:rPr>
            <w:color w:val="0000EE"/>
            <w:u w:val="single"/>
          </w:rPr>
          <w:t>11:27–50:26</w:t>
        </w:r>
      </w:hyperlink>
      <w:r>
        <w:t>) menceritakan tentang berkat Allah kepada Abram dan keturunannya. Awalnya Allah membangun perjanjian dengan Abram (</w:t>
      </w:r>
      <w:hyperlink r:id="rId34">
        <w:r>
          <w:rPr>
            <w:color w:val="0000EE"/>
            <w:u w:val="single"/>
          </w:rPr>
          <w:t>11:27–25:11</w:t>
        </w:r>
      </w:hyperlink>
      <w:r>
        <w:t>), menjanjikan kepadanya bangsa, negeri, dan nama yang besar. Seiring berjalannya waktu, Allah memperjelas ketentuan-ketentuan dalam perjanjian, dan iman Abram bertumbuh semakin dalam.</w:t>
      </w:r>
    </w:p>
    <w:p>
      <w:r/>
      <w:r>
        <w:t>Ketika membahas setiap generasi, Kitab Kejadian memberikan penjelasan singkat tentang keluarga-keluarga yang bukan nenek moyang Israel, sebelum beralih ke garis keturunan Israel. Misalnya, setelah secara singkat menceritakan apa yang terjadi pada Ismael (</w:t>
      </w:r>
      <w:hyperlink r:id="rId35">
        <w:r>
          <w:rPr>
            <w:color w:val="0000EE"/>
            <w:u w:val="single"/>
          </w:rPr>
          <w:t>25:12–18</w:t>
        </w:r>
      </w:hyperlink>
      <w:r>
        <w:t>), kitab Kejadian menceritakan secara terperinci apa yang terjadi pada Ishak dan keluarganya (25:1</w:t>
      </w:r>
      <w:hyperlink r:id="rId36">
        <w:r>
          <w:rPr>
            <w:color w:val="0000EE"/>
            <w:u w:val="single"/>
          </w:rPr>
          <w:t>9–35:29</w:t>
        </w:r>
      </w:hyperlink>
      <w:r>
        <w:t>). Demikian juga, garis keturunan Esau (Edom) dibahas secara singkat (</w:t>
      </w:r>
      <w:hyperlink r:id="rId37">
        <w:r>
          <w:rPr>
            <w:color w:val="0000EE"/>
            <w:u w:val="single"/>
          </w:rPr>
          <w:t>36:1–37:1</w:t>
        </w:r>
      </w:hyperlink>
      <w:r>
        <w:t>) sebelum bagian akhir yang panjang, yang membahas garis keturunan terpilih dari Yakub sang pewaris (</w:t>
      </w:r>
      <w:hyperlink r:id="rId38">
        <w:r>
          <w:rPr>
            <w:color w:val="0000EE"/>
            <w:u w:val="single"/>
          </w:rPr>
          <w:t>37:2–50:26</w:t>
        </w:r>
      </w:hyperlink>
      <w:r>
        <w:t>).</w:t>
      </w:r>
    </w:p>
    <w:p>
      <w:r/>
      <w: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9">
        <w:r>
          <w:rPr>
            <w:color w:val="0000EE"/>
            <w:u w:val="single"/>
          </w:rPr>
          <w:t>50:24–26</w:t>
        </w:r>
      </w:hyperlink>
      <w:r>
        <w:t>).</w:t>
      </w:r>
    </w:p>
    <w:p>
      <w:pPr>
        <w:pStyle w:val="Heading1"/>
      </w:pPr>
      <w:r>
        <w:t>Kepengarangan</w:t>
      </w:r>
    </w:p>
    <w:p>
      <w:r/>
      <w:r>
        <w:t xml:space="preserve">Seperti banyak kitab dalam Alkitab, penulis Kitab Kejadian tidak diidentifikasi secara eksplisit. Banyak ahli berargumen bahwa Pentateukh (Kejadian—Ulangan) merupakan produk dari evolusi sastra yang rumit. Pandangan yang berlaku, yang disebut </w:t>
      </w:r>
      <w:r>
        <w:rPr>
          <w:i/>
        </w:rPr>
        <w:t>Hipotesis Dokumenter,</w:t>
      </w:r>
      <w: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r/>
      <w:r>
        <w:t>Akan tetapi, baik Kitab Suci maupun tradisi mengaitkan Pentateukh kepada Musa. Musa dididik dalam semua hikmat orang Mesir (</w:t>
      </w:r>
      <w:hyperlink r:id="rId40">
        <w:r>
          <w:rPr>
            <w:color w:val="0000EE"/>
            <w:u w:val="single"/>
          </w:rPr>
          <w:t>Kisah Para Rasul 7:22</w:t>
        </w:r>
      </w:hyperlink>
      <w: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r/>
      <w:r>
        <w:t xml:space="preserve">Mungkin saja Musa berperan sebagai sumber utama dari materi yang tercatat dalam Pentateukh dan beberapa penyesuaian editorial dilakukan kemudian (termasuk catatan tentang kematian Musa, </w:t>
      </w:r>
      <w:hyperlink r:id="rId41">
        <w:r>
          <w:rPr>
            <w:color w:val="0000EE"/>
            <w:u w:val="single"/>
          </w:rPr>
          <w:t>Ul. 34</w:t>
        </w:r>
      </w:hyperlink>
      <w:r>
        <w:t>). Terlepas dari itu, bangsa Israel menerima Pentateukh sebagai sumber otoritas Musa yang mutlak.</w:t>
      </w:r>
    </w:p>
    <w:p>
      <w:pPr>
        <w:pStyle w:val="Heading1"/>
      </w:pPr>
      <w:r>
        <w:t>Komposisi</w:t>
      </w:r>
    </w:p>
    <w:p>
      <w:r/>
      <w: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r/>
      <w:r>
        <w:t xml:space="preserve">Kitab Kejadian juga memuat bagian-bagian dan ungkapan-ungkapan yang jelas merupakan catatan penjelasan yang ditambahkan kemudian. Beberapa bagian (seperti daftar raja-raja Edom, </w:t>
      </w:r>
      <w:hyperlink r:id="rId42">
        <w:r>
          <w:rPr>
            <w:color w:val="0000EE"/>
            <w:u w:val="single"/>
          </w:rPr>
          <w:t>36:31–43</w:t>
        </w:r>
      </w:hyperlink>
      <w:r>
        <w:t>) mungkin ditambahkan pada masa-masa awal monarki. Tidak ada pertentangan dalam mengatakan bahwa Kitab Kejadian ditulis oleh Musa dan ditambahkan oleh editor-editor selanjutnya yang karyanya dipandu oleh Roh Kudus.</w:t>
      </w:r>
    </w:p>
    <w:p>
      <w:pPr>
        <w:pStyle w:val="Heading1"/>
      </w:pPr>
      <w:r>
        <w:t>Karakter Sastra</w:t>
      </w:r>
    </w:p>
    <w:p>
      <w:r/>
      <w:r>
        <w:t>Kitab Kejadian mencakup berbagai jenis literatur. Beberapa saran telah dibuat mengenai sifat dari materi-materi tersebut.</w:t>
      </w:r>
    </w:p>
    <w:p>
      <w:r/>
      <w: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3">
        <w:r>
          <w:rPr>
            <w:color w:val="0000EE"/>
            <w:u w:val="single"/>
          </w:rPr>
          <w:t>Kej. 38:15</w:t>
        </w:r>
      </w:hyperlink>
      <w:r>
        <w:t xml:space="preserve">, </w:t>
      </w:r>
      <w:hyperlink r:id="rId44">
        <w:r>
          <w:rPr>
            <w:color w:val="0000EE"/>
            <w:u w:val="single"/>
          </w:rPr>
          <w:t>21–22</w:t>
        </w:r>
      </w:hyperlink>
      <w:r>
        <w:t>).</w:t>
      </w:r>
    </w:p>
    <w:p>
      <w:r/>
      <w: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r/>
      <w: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5">
        <w:r>
          <w:rPr>
            <w:color w:val="0000EE"/>
            <w:u w:val="single"/>
          </w:rPr>
          <w:t>1:14–18</w:t>
        </w:r>
      </w:hyperlink>
      <w:r>
        <w:t>). Kitab Kejadian adalah kuburan bagi mitos-mitos yang tidak bernyawa dan dewa-dewa yang mati.</w:t>
      </w:r>
    </w:p>
    <w:p>
      <w:r/>
      <w: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r/>
      <w:r>
        <w:t xml:space="preserve">Unsur-unsur etiologis memang terdapat dalam Kitab Kejadian, karena kitab ini memberikan dasar dan alasan untuk hampir semua hal yang akan dilakukan oleh Israel di kemudian hari. Contohnya, kisah penciptaan dalam Kitab </w:t>
      </w:r>
      <w:hyperlink r:id="rId46">
        <w:r>
          <w:rPr>
            <w:color w:val="0000EE"/>
            <w:u w:val="single"/>
          </w:rPr>
          <w:t>Kejadian 2</w:t>
        </w:r>
      </w:hyperlink>
      <w: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r/>
      <w: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r/>
      <w: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r/>
      <w: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r/>
      <w: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r/>
      <w: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r/>
      <w: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1"/>
      </w:pPr>
      <w:r>
        <w:t>Makna dan Pesan</w:t>
      </w:r>
    </w:p>
    <w:p>
      <w:r/>
      <w: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r/>
      <w: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r/>
      <w:r>
        <w:t>Israel dapat menelusuri garis keturunannya kepada Abraham yang adalah leluhur dan nasibnya kepada janji-janji Tuhan (</w:t>
      </w:r>
      <w:hyperlink r:id="rId47">
        <w:r>
          <w:rPr>
            <w:color w:val="0000EE"/>
            <w:u w:val="single"/>
          </w:rPr>
          <w:t>12:1–3</w:t>
        </w:r>
      </w:hyperlink>
      <w:r>
        <w:t xml:space="preserve">; </w:t>
      </w:r>
      <w:hyperlink r:id="rId48">
        <w:r>
          <w:rPr>
            <w:color w:val="0000EE"/>
            <w:u w:val="single"/>
          </w:rPr>
          <w:t>15:1–21</w:t>
        </w:r>
      </w:hyperlink>
      <w:r>
        <w:t xml:space="preserve">; </w:t>
      </w:r>
      <w:hyperlink r:id="rId49">
        <w:r>
          <w:rPr>
            <w:color w:val="0000EE"/>
            <w:u w:val="single"/>
          </w:rPr>
          <w:t>17:1–8</w:t>
        </w:r>
      </w:hyperlink>
      <w: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r/>
      <w: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r/>
      <w: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r/>
      <w: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50">
        <w:r>
          <w:rPr>
            <w:color w:val="0000EE"/>
            <w:u w:val="single"/>
          </w:rPr>
          <w:t>Rm 8:28</w:t>
        </w:r>
      </w:hyperlink>
      <w:r>
        <w:t>).</w:t>
      </w:r>
    </w:p>
    <w:p>
      <w:r/>
      <w: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r/>
      <w: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51">
        <w:r>
          <w:rPr>
            <w:color w:val="0000EE"/>
            <w:u w:val="single"/>
          </w:rPr>
          <w:t>Ibrani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